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10A" w:rsidRDefault="00E35E84">
      <w:pPr>
        <w:ind w:firstLineChars="147" w:firstLine="531"/>
        <w:jc w:val="center"/>
        <w:rPr>
          <w:b/>
          <w:sz w:val="36"/>
          <w:szCs w:val="36"/>
        </w:rPr>
      </w:pPr>
      <w:r>
        <w:rPr>
          <w:rFonts w:ascii="Times New Roman" w:hAnsi="Times New Roman" w:hint="eastAsia"/>
          <w:b/>
          <w:sz w:val="36"/>
          <w:szCs w:val="36"/>
        </w:rPr>
        <w:t>Rabbit Anti-Mouse(Fc specific) IgG</w:t>
      </w:r>
      <w:r>
        <w:rPr>
          <w:rFonts w:ascii="Times New Roman" w:hAnsi="Times New Roman"/>
          <w:b/>
          <w:sz w:val="36"/>
          <w:szCs w:val="36"/>
        </w:rPr>
        <w:t>-</w:t>
      </w:r>
      <w:r>
        <w:rPr>
          <w:rFonts w:ascii="Times New Roman" w:hAnsi="Times New Roman" w:hint="eastAsia"/>
          <w:b/>
          <w:sz w:val="36"/>
          <w:szCs w:val="36"/>
        </w:rPr>
        <w:t>QD</w:t>
      </w:r>
      <w:r>
        <w:rPr>
          <w:rFonts w:ascii="Times New Roman" w:hAnsi="Times New Roman" w:hint="eastAsia"/>
          <w:b/>
          <w:sz w:val="36"/>
          <w:szCs w:val="36"/>
        </w:rPr>
        <w:t>产品</w:t>
      </w:r>
      <w:r>
        <w:rPr>
          <w:rFonts w:hint="eastAsia"/>
          <w:b/>
          <w:sz w:val="36"/>
          <w:szCs w:val="36"/>
        </w:rPr>
        <w:t>使用说明书</w:t>
      </w:r>
    </w:p>
    <w:p w:rsidR="0026410A" w:rsidRDefault="0026410A">
      <w:pPr>
        <w:ind w:firstLineChars="395" w:firstLine="829"/>
        <w:rPr>
          <w:szCs w:val="21"/>
        </w:rPr>
      </w:pPr>
    </w:p>
    <w:p w:rsidR="0026410A" w:rsidRDefault="00E35E84">
      <w:pPr>
        <w:pStyle w:val="a6"/>
        <w:spacing w:before="0" w:beforeAutospacing="0" w:after="0" w:afterAutospacing="0" w:line="440" w:lineRule="exact"/>
        <w:ind w:firstLineChars="200" w:firstLine="482"/>
        <w:jc w:val="both"/>
        <w:rPr>
          <w:rFonts w:ascii="Times New Roman" w:hAnsi="Times New Roman" w:cs="Times New Roman"/>
          <w:kern w:val="2"/>
          <w:sz w:val="21"/>
          <w:szCs w:val="21"/>
        </w:rPr>
      </w:pPr>
      <w:r>
        <w:rPr>
          <w:rFonts w:ascii="Times New Roman" w:hAnsi="Times New Roman" w:hint="eastAsia"/>
          <w:b/>
          <w:szCs w:val="21"/>
          <w:u w:val="single"/>
        </w:rPr>
        <w:t>技术背景</w:t>
      </w:r>
      <w:r>
        <w:rPr>
          <w:rFonts w:ascii="Times New Roman" w:hAnsi="Times New Roman" w:hint="eastAsia"/>
          <w:szCs w:val="21"/>
        </w:rPr>
        <w:t>：</w:t>
      </w:r>
      <w:r>
        <w:rPr>
          <w:rFonts w:ascii="Times New Roman" w:hAnsi="Times New Roman" w:cs="Times New Roman"/>
          <w:kern w:val="2"/>
          <w:sz w:val="21"/>
          <w:szCs w:val="21"/>
        </w:rPr>
        <w:t>免疫荧光技术（</w:t>
      </w:r>
      <w:r>
        <w:rPr>
          <w:rFonts w:ascii="Times New Roman" w:hAnsi="Times New Roman" w:cs="Times New Roman"/>
          <w:kern w:val="2"/>
          <w:sz w:val="21"/>
          <w:szCs w:val="21"/>
        </w:rPr>
        <w:t xml:space="preserve">Immunofluorescence technique </w:t>
      </w:r>
      <w:r>
        <w:rPr>
          <w:rFonts w:ascii="Times New Roman" w:hAnsi="Times New Roman" w:cs="Times New Roman"/>
          <w:kern w:val="2"/>
          <w:sz w:val="21"/>
          <w:szCs w:val="21"/>
        </w:rPr>
        <w:t>），是标记免疫技术中发展最早的一种</w:t>
      </w:r>
      <w:r>
        <w:rPr>
          <w:rFonts w:ascii="Times New Roman" w:hAnsi="Times New Roman" w:cs="Times New Roman" w:hint="eastAsia"/>
          <w:kern w:val="2"/>
          <w:sz w:val="21"/>
          <w:szCs w:val="21"/>
        </w:rPr>
        <w:t>，其</w:t>
      </w:r>
      <w:r>
        <w:rPr>
          <w:rFonts w:ascii="Times New Roman" w:hAnsi="Times New Roman" w:cs="Times New Roman"/>
          <w:kern w:val="2"/>
          <w:sz w:val="21"/>
          <w:szCs w:val="21"/>
        </w:rPr>
        <w:t>根据抗原抗体反应的原理，先将已知的抗原或抗体标记上荧光</w:t>
      </w:r>
      <w:r>
        <w:rPr>
          <w:rFonts w:ascii="Times New Roman" w:hAnsi="Times New Roman" w:cs="Times New Roman" w:hint="eastAsia"/>
          <w:kern w:val="2"/>
          <w:sz w:val="21"/>
          <w:szCs w:val="21"/>
        </w:rPr>
        <w:t>示踪物质</w:t>
      </w:r>
      <w:r>
        <w:rPr>
          <w:rFonts w:ascii="Times New Roman" w:hAnsi="Times New Roman" w:cs="Times New Roman"/>
          <w:kern w:val="2"/>
          <w:sz w:val="21"/>
          <w:szCs w:val="21"/>
        </w:rPr>
        <w:t>，制成荧光抗体（或抗原），再用这种荧光抗体（或抗原）作为探针检测</w:t>
      </w:r>
      <w:r>
        <w:rPr>
          <w:rFonts w:ascii="Times New Roman" w:hAnsi="Times New Roman" w:cs="Times New Roman" w:hint="eastAsia"/>
          <w:kern w:val="2"/>
          <w:sz w:val="21"/>
          <w:szCs w:val="21"/>
        </w:rPr>
        <w:t>体内（细胞、组织）或体外</w:t>
      </w:r>
      <w:r>
        <w:rPr>
          <w:rFonts w:ascii="Times New Roman" w:hAnsi="Times New Roman" w:cs="Times New Roman"/>
          <w:kern w:val="2"/>
          <w:sz w:val="21"/>
          <w:szCs w:val="21"/>
        </w:rPr>
        <w:t>相应抗原（或抗体）</w:t>
      </w:r>
      <w:r>
        <w:rPr>
          <w:rFonts w:ascii="Times New Roman" w:hAnsi="Times New Roman" w:cs="Times New Roman" w:hint="eastAsia"/>
          <w:kern w:val="2"/>
          <w:sz w:val="21"/>
          <w:szCs w:val="21"/>
        </w:rPr>
        <w:t>，已经</w:t>
      </w:r>
      <w:r>
        <w:rPr>
          <w:rFonts w:ascii="Times New Roman" w:hAnsi="Times New Roman" w:cs="Times New Roman"/>
          <w:kern w:val="2"/>
          <w:sz w:val="21"/>
          <w:szCs w:val="21"/>
        </w:rPr>
        <w:t>在医学和生物学领域得到深入和广泛的应用。</w:t>
      </w:r>
    </w:p>
    <w:p w:rsidR="0026410A" w:rsidRDefault="00E35E84">
      <w:pPr>
        <w:pStyle w:val="10"/>
        <w:spacing w:line="440" w:lineRule="exact"/>
        <w:rPr>
          <w:rFonts w:ascii="Times New Roman" w:hAnsi="Times New Roman"/>
          <w:szCs w:val="21"/>
        </w:rPr>
      </w:pPr>
      <w:r>
        <w:rPr>
          <w:rFonts w:ascii="Arial" w:hAnsi="Arial" w:cs="Arial" w:hint="eastAsia"/>
          <w:bCs/>
          <w:szCs w:val="21"/>
        </w:rPr>
        <w:t>NanoGen</w:t>
      </w:r>
      <w:r>
        <w:rPr>
          <w:rFonts w:ascii="Arial" w:hAnsi="Arial" w:cs="Arial" w:hint="eastAsia"/>
          <w:bCs/>
          <w:szCs w:val="21"/>
          <w:vertAlign w:val="superscript"/>
        </w:rPr>
        <w:t>TM</w:t>
      </w:r>
      <w:r>
        <w:rPr>
          <w:rFonts w:ascii="Times New Roman" w:hAnsi="Times New Roman" w:hint="eastAsia"/>
          <w:szCs w:val="21"/>
        </w:rPr>
        <w:t>基于自主研发的生物相容性好的量子点与抗体，</w:t>
      </w:r>
      <w:r>
        <w:rPr>
          <w:rFonts w:ascii="Times New Roman" w:hAnsi="Times New Roman"/>
          <w:szCs w:val="21"/>
        </w:rPr>
        <w:t>分别采用化学交联和生物自组装方式</w:t>
      </w:r>
      <w:r>
        <w:rPr>
          <w:rFonts w:ascii="Times New Roman" w:hAnsi="Times New Roman" w:hint="eastAsia"/>
          <w:szCs w:val="21"/>
        </w:rPr>
        <w:t>将二者结合在一起，改善了</w:t>
      </w:r>
      <w:r>
        <w:rPr>
          <w:rFonts w:ascii="Times New Roman" w:hAnsi="Times New Roman"/>
          <w:szCs w:val="21"/>
        </w:rPr>
        <w:t>常规量子点非定向交联所致的产品稳定性差、灵敏度低、效率低的</w:t>
      </w:r>
      <w:r>
        <w:rPr>
          <w:rFonts w:ascii="Times New Roman" w:hAnsi="Times New Roman" w:hint="eastAsia"/>
          <w:szCs w:val="21"/>
        </w:rPr>
        <w:t>不足，突破了制约量子点在生物学领域应用的瓶颈——量子点的高效标记与标记物的分离纯化</w:t>
      </w:r>
      <w:r>
        <w:rPr>
          <w:rFonts w:ascii="Times New Roman" w:hAnsi="Times New Roman"/>
          <w:szCs w:val="21"/>
        </w:rPr>
        <w:t>，为活体成像研究打下了坚实的基础</w:t>
      </w:r>
      <w:r>
        <w:rPr>
          <w:rFonts w:ascii="Times New Roman" w:hAnsi="Times New Roman" w:hint="eastAsia"/>
          <w:szCs w:val="21"/>
        </w:rPr>
        <w:t>。</w:t>
      </w:r>
    </w:p>
    <w:p w:rsidR="0026410A" w:rsidRDefault="00E35E84">
      <w:pPr>
        <w:spacing w:line="440" w:lineRule="exact"/>
        <w:ind w:firstLineChars="200" w:firstLine="420"/>
        <w:rPr>
          <w:rFonts w:ascii="Times New Roman"/>
        </w:rPr>
      </w:pPr>
      <w:r>
        <w:rPr>
          <w:rFonts w:ascii="Times New Roman" w:hAnsi="Times New Roman" w:hint="eastAsia"/>
          <w:szCs w:val="21"/>
        </w:rPr>
        <w:t>本产品为</w:t>
      </w:r>
      <w:r>
        <w:rPr>
          <w:rFonts w:ascii="Times New Roman" w:hAnsi="Times New Roman" w:hint="eastAsia"/>
          <w:szCs w:val="21"/>
        </w:rPr>
        <w:t>（</w:t>
      </w:r>
      <w:r>
        <w:rPr>
          <w:rFonts w:ascii="Times New Roman" w:hAnsi="Times New Roman" w:hint="eastAsia"/>
          <w:szCs w:val="21"/>
        </w:rPr>
        <w:t>组成为</w:t>
      </w:r>
      <w:r>
        <w:rPr>
          <w:rFonts w:ascii="Times New Roman" w:hAnsi="Times New Roman" w:hint="eastAsia"/>
          <w:szCs w:val="21"/>
        </w:rPr>
        <w:t>CdSSe/ZnS</w:t>
      </w:r>
      <w:r>
        <w:rPr>
          <w:rFonts w:ascii="Times New Roman" w:hAnsi="Times New Roman" w:hint="eastAsia"/>
          <w:szCs w:val="21"/>
        </w:rPr>
        <w:t>，发射波长为</w:t>
      </w:r>
      <w:r>
        <w:rPr>
          <w:rFonts w:ascii="Times New Roman" w:hAnsi="Times New Roman" w:hint="eastAsia"/>
          <w:szCs w:val="21"/>
        </w:rPr>
        <w:t>525</w:t>
      </w:r>
      <w:r>
        <w:rPr>
          <w:rFonts w:ascii="Times New Roman" w:hAnsi="Times New Roman" w:hint="eastAsia"/>
          <w:szCs w:val="21"/>
        </w:rPr>
        <w:t>-655</w:t>
      </w:r>
      <w:r>
        <w:rPr>
          <w:rFonts w:ascii="Times New Roman" w:hAnsi="Times New Roman" w:hint="eastAsia"/>
          <w:szCs w:val="21"/>
        </w:rPr>
        <w:t>nm</w:t>
      </w:r>
      <w:r>
        <w:rPr>
          <w:rFonts w:ascii="Times New Roman" w:hAnsi="Times New Roman" w:hint="eastAsia"/>
          <w:szCs w:val="21"/>
        </w:rPr>
        <w:t>可调）</w:t>
      </w:r>
      <w:r>
        <w:rPr>
          <w:rFonts w:ascii="Times New Roman" w:hAnsi="Times New Roman" w:hint="eastAsia"/>
          <w:szCs w:val="21"/>
        </w:rPr>
        <w:t>标记的家兔抗鼠（</w:t>
      </w:r>
      <w:r>
        <w:rPr>
          <w:rFonts w:ascii="Times New Roman" w:hAnsi="Times New Roman" w:hint="eastAsia"/>
          <w:szCs w:val="21"/>
        </w:rPr>
        <w:t>Fc</w:t>
      </w:r>
      <w:r>
        <w:rPr>
          <w:rFonts w:ascii="Times New Roman" w:hAnsi="Times New Roman" w:hint="eastAsia"/>
          <w:szCs w:val="21"/>
        </w:rPr>
        <w:t>特异性）抗体，特异识别鼠</w:t>
      </w:r>
      <w:r>
        <w:rPr>
          <w:rFonts w:ascii="Times New Roman" w:hAnsi="Times New Roman" w:hint="eastAsia"/>
          <w:szCs w:val="21"/>
        </w:rPr>
        <w:t>IgG Fc</w:t>
      </w:r>
      <w:r>
        <w:rPr>
          <w:rFonts w:ascii="Times New Roman" w:hAnsi="Times New Roman" w:hint="eastAsia"/>
          <w:szCs w:val="21"/>
        </w:rPr>
        <w:t>片段，纯化后的量子点标记抗体对其他物种血清蛋白无交叉反应性，与</w:t>
      </w:r>
      <w:r>
        <w:rPr>
          <w:rFonts w:ascii="Times New Roman" w:hAnsi="Times New Roman" w:hint="eastAsia"/>
          <w:szCs w:val="21"/>
        </w:rPr>
        <w:t xml:space="preserve"> Ig </w:t>
      </w:r>
      <w:r>
        <w:rPr>
          <w:rFonts w:ascii="Times New Roman" w:hAnsi="Times New Roman" w:hint="eastAsia"/>
          <w:szCs w:val="21"/>
        </w:rPr>
        <w:t>类蛋白不存在交叉反应</w:t>
      </w:r>
      <w:r>
        <w:rPr>
          <w:rFonts w:ascii="Times New Roman" w:hint="eastAsia"/>
        </w:rPr>
        <w:t>。</w:t>
      </w:r>
    </w:p>
    <w:tbl>
      <w:tblPr>
        <w:tblW w:w="84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93"/>
        <w:gridCol w:w="5852"/>
      </w:tblGrid>
      <w:tr w:rsidR="0026410A">
        <w:trPr>
          <w:trHeight w:val="624"/>
          <w:jc w:val="center"/>
        </w:trPr>
        <w:tc>
          <w:tcPr>
            <w:tcW w:w="259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26410A" w:rsidRDefault="00E35E84">
            <w:pPr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int="eastAsia"/>
                <w:b/>
                <w:bCs/>
                <w:color w:val="000000"/>
              </w:rPr>
              <w:t>产品编号</w:t>
            </w:r>
          </w:p>
        </w:tc>
        <w:tc>
          <w:tcPr>
            <w:tcW w:w="58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26410A" w:rsidRDefault="00E35E84" w:rsidP="004634C0">
            <w:pPr>
              <w:ind w:left="1265" w:hangingChars="600" w:hanging="1265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int="eastAsia"/>
                <w:b/>
                <w:bCs/>
                <w:color w:val="000000"/>
              </w:rPr>
              <w:t>产品名称</w:t>
            </w:r>
          </w:p>
        </w:tc>
      </w:tr>
      <w:tr w:rsidR="0026410A">
        <w:trPr>
          <w:trHeight w:val="624"/>
          <w:jc w:val="center"/>
        </w:trPr>
        <w:tc>
          <w:tcPr>
            <w:tcW w:w="259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26410A" w:rsidRDefault="00E35E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Q3501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 w:hint="eastAsia"/>
                <w:color w:val="000000"/>
              </w:rPr>
              <w:t xml:space="preserve"> Q3501a</w:t>
            </w:r>
          </w:p>
        </w:tc>
        <w:tc>
          <w:tcPr>
            <w:tcW w:w="58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26410A" w:rsidRDefault="00E35E84" w:rsidP="004634C0">
            <w:pPr>
              <w:ind w:left="1440" w:hangingChars="600" w:hanging="14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int="eastAsia"/>
                <w:color w:val="000000"/>
                <w:sz w:val="24"/>
              </w:rPr>
              <w:t>Rabbit Anti-Mouse(Fc Specific) IgG</w:t>
            </w:r>
            <w:r>
              <w:rPr>
                <w:rFonts w:ascii="Times New Roman"/>
                <w:color w:val="000000"/>
                <w:sz w:val="24"/>
              </w:rPr>
              <w:t>-</w:t>
            </w:r>
            <w:r>
              <w:rPr>
                <w:rFonts w:ascii="Times New Roman" w:hint="eastAsia"/>
                <w:color w:val="000000"/>
                <w:sz w:val="24"/>
              </w:rPr>
              <w:t>QD</w:t>
            </w:r>
            <w:r>
              <w:rPr>
                <w:rFonts w:ascii="Times New Roman" w:hint="eastAsia"/>
                <w:color w:val="000000"/>
                <w:sz w:val="24"/>
              </w:rPr>
              <w:t>525</w:t>
            </w:r>
          </w:p>
        </w:tc>
      </w:tr>
      <w:tr w:rsidR="0026410A">
        <w:trPr>
          <w:trHeight w:val="624"/>
          <w:jc w:val="center"/>
        </w:trPr>
        <w:tc>
          <w:tcPr>
            <w:tcW w:w="259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26410A" w:rsidRDefault="00E35E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Q350</w:t>
            </w:r>
            <w:r>
              <w:rPr>
                <w:rFonts w:ascii="Times New Roman" w:hAnsi="Times New Roman" w:hint="eastAsia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 w:hint="eastAsia"/>
                <w:color w:val="000000"/>
              </w:rPr>
              <w:t>Q350</w:t>
            </w:r>
            <w:r>
              <w:rPr>
                <w:rFonts w:ascii="Times New Roman" w:hAnsi="Times New Roman" w:hint="eastAsia"/>
                <w:color w:val="000000"/>
              </w:rPr>
              <w:t>2</w:t>
            </w:r>
            <w:r>
              <w:rPr>
                <w:rFonts w:ascii="Times New Roman" w:hAnsi="Times New Roman" w:hint="eastAsia"/>
                <w:color w:val="000000"/>
              </w:rPr>
              <w:t>a</w:t>
            </w:r>
          </w:p>
        </w:tc>
        <w:tc>
          <w:tcPr>
            <w:tcW w:w="58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26410A" w:rsidRDefault="00E35E84" w:rsidP="004634C0">
            <w:pPr>
              <w:ind w:left="1440" w:hangingChars="600" w:hanging="14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int="eastAsia"/>
                <w:color w:val="000000"/>
                <w:sz w:val="24"/>
              </w:rPr>
              <w:t>Rabbit Anti-Mouse(Fc Specific) IgG</w:t>
            </w:r>
            <w:r>
              <w:rPr>
                <w:rFonts w:ascii="Times New Roman"/>
                <w:color w:val="000000"/>
                <w:sz w:val="24"/>
              </w:rPr>
              <w:t>-</w:t>
            </w:r>
            <w:r>
              <w:rPr>
                <w:rFonts w:ascii="Times New Roman" w:hint="eastAsia"/>
                <w:color w:val="000000"/>
                <w:sz w:val="24"/>
              </w:rPr>
              <w:t>QD</w:t>
            </w:r>
            <w:r>
              <w:rPr>
                <w:rFonts w:ascii="Times New Roman" w:hint="eastAsia"/>
                <w:color w:val="000000"/>
                <w:sz w:val="24"/>
              </w:rPr>
              <w:t>565</w:t>
            </w:r>
          </w:p>
        </w:tc>
      </w:tr>
      <w:tr w:rsidR="0026410A">
        <w:trPr>
          <w:trHeight w:val="624"/>
          <w:jc w:val="center"/>
        </w:trPr>
        <w:tc>
          <w:tcPr>
            <w:tcW w:w="259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26410A" w:rsidRDefault="00E35E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Q350</w:t>
            </w:r>
            <w:r>
              <w:rPr>
                <w:rFonts w:ascii="Times New Roman" w:hAnsi="Times New Roman" w:hint="eastAsia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 w:hint="eastAsia"/>
                <w:color w:val="000000"/>
              </w:rPr>
              <w:t xml:space="preserve"> Q350</w:t>
            </w:r>
            <w:r>
              <w:rPr>
                <w:rFonts w:ascii="Times New Roman" w:hAnsi="Times New Roman" w:hint="eastAsia"/>
                <w:color w:val="000000"/>
              </w:rPr>
              <w:t>3</w:t>
            </w:r>
            <w:r>
              <w:rPr>
                <w:rFonts w:ascii="Times New Roman" w:hAnsi="Times New Roman" w:hint="eastAsia"/>
                <w:color w:val="000000"/>
              </w:rPr>
              <w:t>a</w:t>
            </w:r>
          </w:p>
        </w:tc>
        <w:tc>
          <w:tcPr>
            <w:tcW w:w="58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26410A" w:rsidRDefault="00E35E84" w:rsidP="004634C0">
            <w:pPr>
              <w:ind w:left="1440" w:hangingChars="600" w:hanging="14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int="eastAsia"/>
                <w:color w:val="000000"/>
                <w:sz w:val="24"/>
              </w:rPr>
              <w:t>Rabbit Anti-Mouse(Fc Specific) IgG</w:t>
            </w:r>
            <w:r>
              <w:rPr>
                <w:rFonts w:ascii="Times New Roman"/>
                <w:color w:val="000000"/>
                <w:sz w:val="24"/>
              </w:rPr>
              <w:t>-</w:t>
            </w:r>
            <w:r>
              <w:rPr>
                <w:rFonts w:ascii="Times New Roman" w:hint="eastAsia"/>
                <w:color w:val="000000"/>
                <w:sz w:val="24"/>
              </w:rPr>
              <w:t>QD</w:t>
            </w:r>
            <w:r>
              <w:rPr>
                <w:rFonts w:ascii="Times New Roman" w:hint="eastAsia"/>
                <w:color w:val="000000"/>
                <w:sz w:val="24"/>
              </w:rPr>
              <w:t>585</w:t>
            </w:r>
          </w:p>
        </w:tc>
      </w:tr>
      <w:tr w:rsidR="0026410A">
        <w:trPr>
          <w:trHeight w:val="624"/>
          <w:jc w:val="center"/>
        </w:trPr>
        <w:tc>
          <w:tcPr>
            <w:tcW w:w="259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26410A" w:rsidRDefault="00E35E84">
            <w:pPr>
              <w:rPr>
                <w:rFonts w:asci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Q350</w:t>
            </w:r>
            <w:r>
              <w:rPr>
                <w:rFonts w:ascii="Times New Roman" w:hAnsi="Times New Roman" w:hint="eastAsia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 w:hint="eastAsia"/>
                <w:color w:val="000000"/>
              </w:rPr>
              <w:t xml:space="preserve"> Q350</w:t>
            </w:r>
            <w:r>
              <w:rPr>
                <w:rFonts w:ascii="Times New Roman" w:hAnsi="Times New Roman" w:hint="eastAsia"/>
                <w:color w:val="000000"/>
              </w:rPr>
              <w:t>4</w:t>
            </w:r>
            <w:r>
              <w:rPr>
                <w:rFonts w:ascii="Times New Roman" w:hAnsi="Times New Roman" w:hint="eastAsia"/>
                <w:color w:val="000000"/>
              </w:rPr>
              <w:t>a</w:t>
            </w:r>
          </w:p>
        </w:tc>
        <w:tc>
          <w:tcPr>
            <w:tcW w:w="58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26410A" w:rsidRDefault="00E35E84" w:rsidP="004634C0">
            <w:pPr>
              <w:ind w:left="1440" w:hangingChars="600" w:hanging="1440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color w:val="000000"/>
                <w:sz w:val="24"/>
              </w:rPr>
              <w:t>Rabbit Anti-Mouse(Fc Specific) IgG</w:t>
            </w:r>
            <w:r>
              <w:rPr>
                <w:rFonts w:ascii="Times New Roman"/>
                <w:color w:val="000000"/>
                <w:sz w:val="24"/>
              </w:rPr>
              <w:t>-</w:t>
            </w:r>
            <w:r>
              <w:rPr>
                <w:rFonts w:ascii="Times New Roman" w:hint="eastAsia"/>
                <w:color w:val="000000"/>
                <w:sz w:val="24"/>
              </w:rPr>
              <w:t>QD</w:t>
            </w:r>
            <w:r>
              <w:rPr>
                <w:rFonts w:ascii="Times New Roman" w:hint="eastAsia"/>
                <w:color w:val="000000"/>
                <w:sz w:val="24"/>
              </w:rPr>
              <w:t>6</w:t>
            </w:r>
            <w:r w:rsidR="004634C0">
              <w:rPr>
                <w:rFonts w:ascii="Times New Roman" w:hint="eastAsia"/>
                <w:color w:val="000000"/>
                <w:sz w:val="24"/>
              </w:rPr>
              <w:t>10</w:t>
            </w:r>
          </w:p>
        </w:tc>
      </w:tr>
      <w:tr w:rsidR="0026410A">
        <w:trPr>
          <w:trHeight w:val="624"/>
          <w:jc w:val="center"/>
        </w:trPr>
        <w:tc>
          <w:tcPr>
            <w:tcW w:w="259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26410A" w:rsidRDefault="00E35E84">
            <w:pPr>
              <w:rPr>
                <w:rFonts w:asci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Q350</w:t>
            </w:r>
            <w:r>
              <w:rPr>
                <w:rFonts w:ascii="Times New Roman" w:hAnsi="Times New Roman" w:hint="eastAsia"/>
                <w:color w:val="000000"/>
              </w:rPr>
              <w:t>5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 w:hint="eastAsia"/>
                <w:color w:val="000000"/>
              </w:rPr>
              <w:t xml:space="preserve"> Q350</w:t>
            </w:r>
            <w:r>
              <w:rPr>
                <w:rFonts w:ascii="Times New Roman" w:hAnsi="Times New Roman" w:hint="eastAsia"/>
                <w:color w:val="000000"/>
              </w:rPr>
              <w:t>5</w:t>
            </w:r>
            <w:r>
              <w:rPr>
                <w:rFonts w:ascii="Times New Roman" w:hAnsi="Times New Roman" w:hint="eastAsia"/>
                <w:color w:val="000000"/>
              </w:rPr>
              <w:t>a</w:t>
            </w:r>
          </w:p>
        </w:tc>
        <w:tc>
          <w:tcPr>
            <w:tcW w:w="58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26410A" w:rsidRDefault="00E35E84" w:rsidP="004634C0">
            <w:pPr>
              <w:ind w:left="1440" w:hangingChars="600" w:hanging="1440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color w:val="000000"/>
                <w:sz w:val="24"/>
              </w:rPr>
              <w:t xml:space="preserve">Rabbit Anti-Mouse(Fc Specific) </w:t>
            </w:r>
            <w:r>
              <w:rPr>
                <w:rFonts w:ascii="Times New Roman" w:hint="eastAsia"/>
                <w:color w:val="000000"/>
                <w:sz w:val="24"/>
              </w:rPr>
              <w:t>IgG</w:t>
            </w:r>
            <w:r>
              <w:rPr>
                <w:rFonts w:ascii="Times New Roman"/>
                <w:color w:val="000000"/>
                <w:sz w:val="24"/>
              </w:rPr>
              <w:t>-</w:t>
            </w:r>
            <w:r>
              <w:rPr>
                <w:rFonts w:ascii="Times New Roman" w:hint="eastAsia"/>
                <w:color w:val="000000"/>
                <w:sz w:val="24"/>
              </w:rPr>
              <w:t>QD</w:t>
            </w:r>
            <w:r>
              <w:rPr>
                <w:rFonts w:ascii="Times New Roman" w:hint="eastAsia"/>
                <w:color w:val="000000"/>
                <w:sz w:val="24"/>
              </w:rPr>
              <w:t>625</w:t>
            </w:r>
          </w:p>
        </w:tc>
      </w:tr>
      <w:tr w:rsidR="0026410A">
        <w:trPr>
          <w:trHeight w:val="624"/>
          <w:jc w:val="center"/>
        </w:trPr>
        <w:tc>
          <w:tcPr>
            <w:tcW w:w="259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26410A" w:rsidRDefault="00E35E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Q350</w:t>
            </w:r>
            <w:r>
              <w:rPr>
                <w:rFonts w:ascii="Times New Roman" w:hAnsi="Times New Roman" w:hint="eastAsia"/>
                <w:color w:val="000000"/>
              </w:rPr>
              <w:t>6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 w:hint="eastAsia"/>
                <w:color w:val="000000"/>
              </w:rPr>
              <w:t xml:space="preserve"> Q350</w:t>
            </w:r>
            <w:r>
              <w:rPr>
                <w:rFonts w:ascii="Times New Roman" w:hAnsi="Times New Roman" w:hint="eastAsia"/>
                <w:color w:val="000000"/>
              </w:rPr>
              <w:t>6</w:t>
            </w:r>
            <w:r>
              <w:rPr>
                <w:rFonts w:ascii="Times New Roman" w:hAnsi="Times New Roman" w:hint="eastAsia"/>
                <w:color w:val="000000"/>
              </w:rPr>
              <w:t>a</w:t>
            </w:r>
          </w:p>
          <w:p w:rsidR="0026410A" w:rsidRDefault="0026410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8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26410A" w:rsidRDefault="00E35E84" w:rsidP="004634C0">
            <w:pPr>
              <w:ind w:left="1440" w:hangingChars="600" w:hanging="1440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color w:val="000000"/>
                <w:sz w:val="24"/>
              </w:rPr>
              <w:t>Rabbit Anti-Mouse(Fc Specific) IgG</w:t>
            </w:r>
            <w:r>
              <w:rPr>
                <w:rFonts w:ascii="Times New Roman"/>
                <w:color w:val="000000"/>
                <w:sz w:val="24"/>
              </w:rPr>
              <w:t>-</w:t>
            </w:r>
            <w:r>
              <w:rPr>
                <w:rFonts w:ascii="Times New Roman" w:hint="eastAsia"/>
                <w:color w:val="000000"/>
                <w:sz w:val="24"/>
              </w:rPr>
              <w:t>QD</w:t>
            </w:r>
            <w:r>
              <w:rPr>
                <w:rFonts w:ascii="Times New Roman" w:hint="eastAsia"/>
                <w:color w:val="000000"/>
                <w:sz w:val="24"/>
              </w:rPr>
              <w:t>655</w:t>
            </w:r>
          </w:p>
        </w:tc>
      </w:tr>
      <w:tr w:rsidR="0026410A">
        <w:trPr>
          <w:trHeight w:val="624"/>
          <w:jc w:val="center"/>
        </w:trPr>
        <w:tc>
          <w:tcPr>
            <w:tcW w:w="8445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26410A" w:rsidRDefault="00E35E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int="eastAsia"/>
                <w:color w:val="000000"/>
              </w:rPr>
              <w:t>【生产批号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int="eastAsia"/>
                <w:color w:val="000000"/>
              </w:rPr>
              <w:t>日期】见小管标签【生产批号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int="eastAsia"/>
                <w:color w:val="000000"/>
              </w:rPr>
              <w:t>日期】见小管标签</w:t>
            </w:r>
          </w:p>
          <w:p w:rsidR="0026410A" w:rsidRDefault="00E35E84">
            <w:pPr>
              <w:ind w:left="1260" w:hangingChars="600" w:hanging="12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int="eastAsia"/>
                <w:color w:val="000000"/>
              </w:rPr>
              <w:t>【规格】</w:t>
            </w:r>
            <w:r>
              <w:rPr>
                <w:rFonts w:ascii="Times New Roman" w:hAnsi="Times New Roman"/>
                <w:color w:val="000000"/>
              </w:rPr>
              <w:t>100μL/1mL</w:t>
            </w:r>
            <w:r>
              <w:rPr>
                <w:rFonts w:ascii="Times New Roman" w:hint="eastAsia"/>
                <w:color w:val="000000"/>
              </w:rPr>
              <w:t>【浓</w:t>
            </w:r>
            <w:r>
              <w:rPr>
                <w:rFonts w:ascii="Times New Roman" w:hAnsi="宋体" w:hint="eastAsia"/>
                <w:color w:val="000000"/>
              </w:rPr>
              <w:t>度</w:t>
            </w:r>
            <w:r>
              <w:rPr>
                <w:rFonts w:ascii="Times New Roman" w:hint="eastAsia"/>
                <w:color w:val="000000"/>
              </w:rPr>
              <w:t>】</w:t>
            </w:r>
            <w:r>
              <w:rPr>
                <w:rFonts w:ascii="Times New Roman" w:hAnsi="Times New Roman"/>
                <w:color w:val="000000"/>
              </w:rPr>
              <w:t xml:space="preserve">1μM/L 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>(</w:t>
            </w:r>
            <w:r>
              <w:rPr>
                <w:rFonts w:ascii="Times New Roman" w:hint="eastAsia"/>
                <w:color w:val="000000"/>
                <w:sz w:val="15"/>
                <w:szCs w:val="15"/>
              </w:rPr>
              <w:t>量子点浓度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>)</w:t>
            </w:r>
          </w:p>
          <w:p w:rsidR="0026410A" w:rsidRDefault="00E35E84">
            <w:pPr>
              <w:ind w:left="1260" w:hangingChars="600" w:hanging="12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int="eastAsia"/>
                <w:color w:val="000000"/>
              </w:rPr>
              <w:t>【保存】避光、</w:t>
            </w:r>
            <w:r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宋体" w:hAnsi="宋体" w:cs="宋体" w:hint="eastAsia"/>
                <w:color w:val="000000"/>
              </w:rPr>
              <w:t>℃</w:t>
            </w:r>
            <w:r>
              <w:rPr>
                <w:rFonts w:ascii="Times New Roman" w:hAnsi="Times New Roman" w:hint="eastAsia"/>
                <w:color w:val="000000"/>
              </w:rPr>
              <w:t>可保</w:t>
            </w:r>
            <w:r>
              <w:rPr>
                <w:rFonts w:ascii="Times New Roman" w:hint="eastAsia"/>
                <w:color w:val="000000"/>
              </w:rPr>
              <w:t>存三个月【注意事项】</w:t>
            </w:r>
            <w:r>
              <w:rPr>
                <w:rFonts w:ascii="Times New Roman" w:hint="eastAsia"/>
              </w:rPr>
              <w:t>禁止冷冻</w:t>
            </w:r>
          </w:p>
        </w:tc>
      </w:tr>
    </w:tbl>
    <w:p w:rsidR="0026410A" w:rsidRDefault="0026410A">
      <w:pPr>
        <w:spacing w:line="200" w:lineRule="exact"/>
        <w:ind w:firstLineChars="395" w:firstLine="829"/>
        <w:rPr>
          <w:szCs w:val="21"/>
        </w:rPr>
      </w:pPr>
      <w:bookmarkStart w:id="0" w:name="_GoBack"/>
      <w:bookmarkEnd w:id="0"/>
    </w:p>
    <w:p w:rsidR="0026410A" w:rsidRDefault="00E35E84">
      <w:pPr>
        <w:spacing w:line="440" w:lineRule="exact"/>
        <w:rPr>
          <w:rFonts w:ascii="Times New Roman" w:hAnsi="Times New Roman"/>
          <w:szCs w:val="21"/>
        </w:rPr>
      </w:pPr>
      <w:r>
        <w:rPr>
          <w:rFonts w:ascii="Times New Roman" w:hAnsi="宋体" w:hint="eastAsia"/>
          <w:b/>
          <w:szCs w:val="21"/>
          <w:u w:val="single"/>
        </w:rPr>
        <w:t>二抗克隆性</w:t>
      </w:r>
      <w:r>
        <w:rPr>
          <w:rFonts w:ascii="Times New Roman" w:hAnsi="宋体" w:hint="eastAsia"/>
          <w:b/>
          <w:szCs w:val="21"/>
        </w:rPr>
        <w:t>：</w:t>
      </w:r>
      <w:r>
        <w:rPr>
          <w:rFonts w:ascii="Times New Roman" w:hAnsi="宋体" w:hint="eastAsia"/>
          <w:szCs w:val="21"/>
        </w:rPr>
        <w:t>多克隆</w:t>
      </w:r>
    </w:p>
    <w:p w:rsidR="0026410A" w:rsidRDefault="00E35E84">
      <w:pPr>
        <w:spacing w:line="440" w:lineRule="exact"/>
        <w:rPr>
          <w:rFonts w:ascii="Times New Roman" w:hAnsi="Times New Roman"/>
          <w:szCs w:val="21"/>
        </w:rPr>
      </w:pPr>
      <w:r>
        <w:rPr>
          <w:rFonts w:ascii="Times New Roman" w:hAnsi="宋体" w:hint="eastAsia"/>
          <w:b/>
          <w:szCs w:val="21"/>
          <w:u w:val="single"/>
        </w:rPr>
        <w:t>二抗免疫原</w:t>
      </w:r>
      <w:r>
        <w:rPr>
          <w:rFonts w:ascii="Times New Roman" w:hAnsi="宋体" w:hint="eastAsia"/>
          <w:szCs w:val="21"/>
        </w:rPr>
        <w:t>：鼠</w:t>
      </w:r>
      <w:r>
        <w:rPr>
          <w:rFonts w:ascii="Times New Roman" w:hAnsi="Times New Roman"/>
          <w:szCs w:val="21"/>
        </w:rPr>
        <w:t>IgG</w:t>
      </w:r>
      <w:r>
        <w:rPr>
          <w:rFonts w:ascii="Times New Roman" w:hAnsi="Times New Roman" w:hint="eastAsia"/>
          <w:szCs w:val="21"/>
        </w:rPr>
        <w:t xml:space="preserve"> Fc</w:t>
      </w:r>
      <w:r>
        <w:rPr>
          <w:rFonts w:ascii="Times New Roman" w:hAnsi="Times New Roman" w:hint="eastAsia"/>
          <w:szCs w:val="21"/>
        </w:rPr>
        <w:t>片段</w:t>
      </w:r>
    </w:p>
    <w:p w:rsidR="0026410A" w:rsidRDefault="00E35E84">
      <w:pPr>
        <w:spacing w:line="440" w:lineRule="exact"/>
        <w:rPr>
          <w:rFonts w:ascii="Times New Roman" w:hAnsi="Times New Roman"/>
          <w:szCs w:val="21"/>
        </w:rPr>
      </w:pPr>
      <w:r>
        <w:rPr>
          <w:rFonts w:ascii="Times New Roman" w:hAnsi="宋体" w:hint="eastAsia"/>
          <w:b/>
          <w:szCs w:val="21"/>
          <w:u w:val="single"/>
        </w:rPr>
        <w:t>二抗宿主动物</w:t>
      </w:r>
      <w:r>
        <w:rPr>
          <w:rFonts w:ascii="Times New Roman" w:hAnsi="宋体" w:hint="eastAsia"/>
          <w:szCs w:val="21"/>
        </w:rPr>
        <w:t>：家兔</w:t>
      </w:r>
    </w:p>
    <w:p w:rsidR="0026410A" w:rsidRDefault="00E35E84">
      <w:pPr>
        <w:spacing w:line="440" w:lineRule="exact"/>
        <w:rPr>
          <w:rFonts w:ascii="Times New Roman" w:hAnsi="Times New Roman"/>
          <w:szCs w:val="21"/>
        </w:rPr>
      </w:pPr>
      <w:r>
        <w:rPr>
          <w:rFonts w:ascii="Times New Roman" w:hAnsi="宋体" w:hint="eastAsia"/>
          <w:b/>
          <w:szCs w:val="21"/>
          <w:u w:val="single"/>
        </w:rPr>
        <w:t>二抗来源</w:t>
      </w:r>
      <w:r>
        <w:rPr>
          <w:rFonts w:ascii="Times New Roman" w:hAnsi="宋体" w:hint="eastAsia"/>
          <w:szCs w:val="21"/>
        </w:rPr>
        <w:t>：家兔抗血清</w:t>
      </w:r>
    </w:p>
    <w:p w:rsidR="0026410A" w:rsidRDefault="00E35E84" w:rsidP="004634C0">
      <w:pPr>
        <w:widowControl/>
        <w:shd w:val="clear" w:color="auto" w:fill="FFFFFF"/>
        <w:spacing w:beforeLines="50" w:line="200" w:lineRule="exact"/>
        <w:jc w:val="left"/>
        <w:rPr>
          <w:rFonts w:ascii="Times New Roman" w:hAnsi="Times New Roman"/>
          <w:color w:val="000000"/>
          <w:szCs w:val="21"/>
        </w:rPr>
      </w:pPr>
      <w:r>
        <w:rPr>
          <w:rFonts w:ascii="Times New Roman" w:hAnsi="黑体" w:hint="eastAsia"/>
          <w:b/>
          <w:color w:val="000000"/>
          <w:szCs w:val="21"/>
          <w:u w:val="single"/>
        </w:rPr>
        <w:lastRenderedPageBreak/>
        <w:t>储存液</w:t>
      </w:r>
      <w:r>
        <w:rPr>
          <w:rFonts w:ascii="Times New Roman" w:hAnsi="黑体" w:hint="eastAsia"/>
          <w:color w:val="000000"/>
          <w:szCs w:val="21"/>
        </w:rPr>
        <w:t>：</w:t>
      </w:r>
      <w:r>
        <w:rPr>
          <w:rFonts w:ascii="Times New Roman" w:hAnsi="Times New Roman" w:hint="eastAsia"/>
          <w:color w:val="000000"/>
          <w:szCs w:val="21"/>
        </w:rPr>
        <w:t>0.01M PB</w:t>
      </w:r>
      <w:r>
        <w:rPr>
          <w:rFonts w:ascii="Times New Roman"/>
          <w:color w:val="000000"/>
          <w:szCs w:val="21"/>
        </w:rPr>
        <w:t>(</w:t>
      </w:r>
      <w:r>
        <w:rPr>
          <w:rFonts w:ascii="Times New Roman" w:hint="eastAsia"/>
          <w:color w:val="000000"/>
          <w:szCs w:val="21"/>
        </w:rPr>
        <w:t xml:space="preserve">pH 7.0 </w:t>
      </w:r>
      <w:r>
        <w:rPr>
          <w:rFonts w:ascii="Times New Roman" w:hAnsi="Times New Roman"/>
          <w:color w:val="000000"/>
          <w:szCs w:val="21"/>
        </w:rPr>
        <w:t>0.02% Proclin</w:t>
      </w:r>
      <w:r>
        <w:rPr>
          <w:rFonts w:ascii="Times New Roman"/>
          <w:color w:val="000000"/>
          <w:szCs w:val="21"/>
        </w:rPr>
        <w:t>)</w:t>
      </w:r>
    </w:p>
    <w:p w:rsidR="0026410A" w:rsidRDefault="00E35E84">
      <w:pPr>
        <w:spacing w:before="50" w:line="400" w:lineRule="exact"/>
        <w:ind w:left="517" w:hangingChars="245" w:hanging="517"/>
        <w:rPr>
          <w:rFonts w:ascii="Times New Roman" w:hAnsi="Times New Roman"/>
          <w:color w:val="000000"/>
          <w:szCs w:val="21"/>
        </w:rPr>
      </w:pPr>
      <w:r>
        <w:rPr>
          <w:rFonts w:ascii="Times New Roman" w:hAnsi="黑体" w:hint="eastAsia"/>
          <w:b/>
          <w:color w:val="000000"/>
          <w:szCs w:val="21"/>
          <w:u w:val="single"/>
        </w:rPr>
        <w:t>应用</w:t>
      </w:r>
      <w:r>
        <w:rPr>
          <w:rFonts w:ascii="Times New Roman" w:hAnsi="黑体" w:hint="eastAsia"/>
          <w:color w:val="000000"/>
          <w:szCs w:val="21"/>
        </w:rPr>
        <w:t>：</w:t>
      </w:r>
      <w:r>
        <w:rPr>
          <w:rFonts w:ascii="Times New Roman" w:hAnsi="Times New Roman"/>
          <w:szCs w:val="21"/>
        </w:rPr>
        <w:t>IgG-QD</w:t>
      </w:r>
      <w:r>
        <w:rPr>
          <w:rFonts w:ascii="Times New Roman" w:hAnsi="Times New Roman" w:hint="eastAsia"/>
          <w:szCs w:val="21"/>
        </w:rPr>
        <w:t>系列产品兼具量子点高灵敏度以及抗体高特异性可用于</w:t>
      </w:r>
      <w:r>
        <w:rPr>
          <w:rFonts w:ascii="Times New Roman" w:hint="eastAsia"/>
          <w:color w:val="000000"/>
          <w:szCs w:val="21"/>
        </w:rPr>
        <w:t>免疫组化、免疫荧光、蛋白印记、细胞相关分析实验、流式细胞术。</w:t>
      </w:r>
    </w:p>
    <w:p w:rsidR="0026410A" w:rsidRDefault="00E35E84">
      <w:pPr>
        <w:spacing w:before="50" w:line="400" w:lineRule="exact"/>
        <w:ind w:firstLineChars="300" w:firstLine="630"/>
        <w:rPr>
          <w:rFonts w:ascii="Times New Roman" w:hAnsi="Times New Roman"/>
          <w:color w:val="000000"/>
          <w:szCs w:val="21"/>
        </w:rPr>
      </w:pPr>
      <w:r>
        <w:rPr>
          <w:rFonts w:ascii="Times New Roman" w:hint="eastAsia"/>
          <w:color w:val="000000"/>
          <w:szCs w:val="21"/>
        </w:rPr>
        <w:t>产品推荐使用浓度：</w:t>
      </w:r>
      <w:r>
        <w:rPr>
          <w:rFonts w:ascii="Times New Roman" w:hAnsi="Times New Roman"/>
          <w:color w:val="000000"/>
          <w:szCs w:val="21"/>
        </w:rPr>
        <w:t>Western blotting/1:100-1:500</w:t>
      </w:r>
    </w:p>
    <w:p w:rsidR="0026410A" w:rsidRDefault="00E35E84">
      <w:pPr>
        <w:spacing w:before="50" w:line="400" w:lineRule="exact"/>
        <w:ind w:firstLineChars="1200" w:firstLine="2520"/>
        <w:rPr>
          <w:rFonts w:ascii="Times New Roman" w:hAnsi="Times New Roman"/>
          <w:color w:val="000000"/>
          <w:szCs w:val="21"/>
        </w:rPr>
      </w:pPr>
      <w:r>
        <w:rPr>
          <w:rFonts w:ascii="Times New Roman" w:hAnsi="Times New Roman"/>
          <w:color w:val="000000"/>
          <w:szCs w:val="21"/>
        </w:rPr>
        <w:t>Cell staining/1:100-1:1000</w:t>
      </w:r>
    </w:p>
    <w:p w:rsidR="0026410A" w:rsidRDefault="00E35E84">
      <w:pPr>
        <w:spacing w:before="50" w:line="400" w:lineRule="exact"/>
        <w:ind w:firstLineChars="300" w:firstLine="630"/>
        <w:rPr>
          <w:rFonts w:ascii="Times New Roman" w:hAnsi="Times New Roman"/>
          <w:color w:val="000000"/>
          <w:szCs w:val="21"/>
        </w:rPr>
      </w:pPr>
      <w:r>
        <w:rPr>
          <w:rFonts w:ascii="Times New Roman" w:hint="eastAsia"/>
          <w:color w:val="000000"/>
          <w:szCs w:val="21"/>
        </w:rPr>
        <w:t>具体实验过程中，应根据不同用途选择合适的量子点标记物工作浓度。</w:t>
      </w:r>
    </w:p>
    <w:p w:rsidR="0026410A" w:rsidRDefault="00E35E84">
      <w:pPr>
        <w:spacing w:before="50" w:line="400" w:lineRule="exact"/>
        <w:rPr>
          <w:rFonts w:ascii="Times New Roman" w:hAnsi="Times New Roman"/>
          <w:color w:val="000000"/>
          <w:szCs w:val="21"/>
        </w:rPr>
      </w:pPr>
      <w:r>
        <w:rPr>
          <w:rFonts w:ascii="Times New Roman" w:hAnsi="黑体" w:hint="eastAsia"/>
          <w:b/>
          <w:color w:val="000000"/>
          <w:szCs w:val="21"/>
          <w:u w:val="single"/>
        </w:rPr>
        <w:t>保存说明</w:t>
      </w:r>
      <w:r>
        <w:rPr>
          <w:rFonts w:ascii="Times New Roman" w:hAnsi="黑体" w:hint="eastAsia"/>
          <w:color w:val="000000"/>
          <w:szCs w:val="21"/>
        </w:rPr>
        <w:t>：</w:t>
      </w:r>
      <w:r>
        <w:rPr>
          <w:rFonts w:ascii="Times New Roman" w:hint="eastAsia"/>
          <w:color w:val="000000"/>
          <w:szCs w:val="21"/>
        </w:rPr>
        <w:t>自生产之日起，</w:t>
      </w:r>
      <w:r>
        <w:rPr>
          <w:rFonts w:ascii="Times New Roman" w:hint="eastAsia"/>
          <w:color w:val="000000"/>
        </w:rPr>
        <w:t>避光、</w:t>
      </w:r>
      <w:r>
        <w:rPr>
          <w:rFonts w:ascii="Times New Roman" w:hAnsi="Times New Roman"/>
          <w:color w:val="000000"/>
        </w:rPr>
        <w:t>4</w:t>
      </w:r>
      <w:r>
        <w:rPr>
          <w:rFonts w:ascii="宋体" w:hAnsi="宋体" w:cs="宋体" w:hint="eastAsia"/>
          <w:color w:val="000000"/>
        </w:rPr>
        <w:t>℃</w:t>
      </w:r>
      <w:r>
        <w:rPr>
          <w:rFonts w:ascii="Times New Roman" w:hint="eastAsia"/>
          <w:color w:val="000000"/>
        </w:rPr>
        <w:t>可保存三个月；为了更好保存、使用试剂，使用前后请适当离心（盖帽）；切勿冷冻。</w:t>
      </w:r>
    </w:p>
    <w:p w:rsidR="0026410A" w:rsidRDefault="00E35E84">
      <w:pPr>
        <w:spacing w:line="400" w:lineRule="exact"/>
        <w:rPr>
          <w:rFonts w:ascii="Times New Roman" w:hAnsi="Times New Roman"/>
          <w:color w:val="000000"/>
          <w:szCs w:val="21"/>
        </w:rPr>
      </w:pPr>
      <w:r>
        <w:rPr>
          <w:rFonts w:ascii="Times New Roman" w:hAnsi="黑体" w:hint="eastAsia"/>
          <w:b/>
          <w:color w:val="000000"/>
          <w:szCs w:val="21"/>
          <w:u w:val="single"/>
        </w:rPr>
        <w:t>备注</w:t>
      </w:r>
      <w:r>
        <w:rPr>
          <w:rFonts w:ascii="Times New Roman" w:hAnsi="黑体" w:hint="eastAsia"/>
          <w:color w:val="000000"/>
          <w:szCs w:val="21"/>
        </w:rPr>
        <w:t>：</w:t>
      </w:r>
      <w:r>
        <w:rPr>
          <w:rFonts w:ascii="Times New Roman" w:hint="eastAsia"/>
          <w:color w:val="000000"/>
          <w:szCs w:val="21"/>
        </w:rPr>
        <w:t>本产品仅用于科研，不能用于人体实验或人体治疗。</w:t>
      </w:r>
    </w:p>
    <w:sectPr w:rsidR="0026410A" w:rsidSect="0026410A">
      <w:headerReference w:type="default" r:id="rId7"/>
      <w:footerReference w:type="default" r:id="rId8"/>
      <w:pgSz w:w="11906" w:h="16838"/>
      <w:pgMar w:top="1440" w:right="1800" w:bottom="1440" w:left="1800" w:header="283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5E84" w:rsidRDefault="00E35E84" w:rsidP="0026410A">
      <w:r>
        <w:separator/>
      </w:r>
    </w:p>
  </w:endnote>
  <w:endnote w:type="continuationSeparator" w:id="0">
    <w:p w:rsidR="00E35E84" w:rsidRDefault="00E35E84" w:rsidP="002641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text" w:tblpY="1"/>
      <w:tblW w:w="8522" w:type="dxa"/>
      <w:tblLayout w:type="fixed"/>
      <w:tblLook w:val="04A0"/>
    </w:tblPr>
    <w:tblGrid>
      <w:gridCol w:w="3835"/>
      <w:gridCol w:w="852"/>
      <w:gridCol w:w="3835"/>
    </w:tblGrid>
    <w:tr w:rsidR="0026410A">
      <w:trPr>
        <w:trHeight w:val="151"/>
      </w:trPr>
      <w:tc>
        <w:tcPr>
          <w:tcW w:w="3835" w:type="dxa"/>
          <w:tcBorders>
            <w:bottom w:val="single" w:sz="4" w:space="0" w:color="4F81BD"/>
          </w:tcBorders>
        </w:tcPr>
        <w:p w:rsidR="0026410A" w:rsidRDefault="00E35E84">
          <w:pPr>
            <w:pStyle w:val="a5"/>
            <w:jc w:val="left"/>
            <w:rPr>
              <w:rFonts w:ascii="Cambria" w:hAnsi="Cambria"/>
              <w:b/>
              <w:bCs/>
            </w:rPr>
          </w:pPr>
          <w:r>
            <w:rPr>
              <w:rFonts w:hint="eastAsia"/>
              <w:sz w:val="15"/>
              <w:szCs w:val="15"/>
            </w:rPr>
            <w:t>北京晶泰美康生物科技有限公司</w:t>
          </w:r>
        </w:p>
      </w:tc>
      <w:tc>
        <w:tcPr>
          <w:tcW w:w="852" w:type="dxa"/>
          <w:vMerge w:val="restart"/>
          <w:vAlign w:val="center"/>
        </w:tcPr>
        <w:p w:rsidR="0026410A" w:rsidRDefault="0026410A">
          <w:pPr>
            <w:pStyle w:val="1"/>
            <w:rPr>
              <w:rFonts w:ascii="Cambria" w:hAnsi="Cambria"/>
            </w:rPr>
          </w:pPr>
          <w:r>
            <w:rPr>
              <w:rFonts w:ascii="Cambria" w:hAnsi="Cambria"/>
              <w:b/>
              <w:lang w:val="zh-CN"/>
            </w:rPr>
            <w:fldChar w:fldCharType="begin"/>
          </w:r>
          <w:r w:rsidR="00E35E84">
            <w:instrText xml:space="preserve"> PAGE  \* MERGEFORMAT </w:instrText>
          </w:r>
          <w:r w:rsidRPr="0026410A">
            <w:fldChar w:fldCharType="separate"/>
          </w:r>
          <w:r w:rsidR="004634C0" w:rsidRPr="004634C0">
            <w:rPr>
              <w:rFonts w:ascii="Cambria" w:hAnsi="Cambria"/>
              <w:b/>
              <w:noProof/>
              <w:lang w:val="zh-CN"/>
            </w:rPr>
            <w:t>1</w:t>
          </w:r>
          <w:r>
            <w:rPr>
              <w:rFonts w:ascii="Cambria" w:hAnsi="Cambria"/>
              <w:b/>
              <w:lang w:val="zh-CN"/>
            </w:rPr>
            <w:fldChar w:fldCharType="end"/>
          </w:r>
        </w:p>
      </w:tc>
      <w:tc>
        <w:tcPr>
          <w:tcW w:w="3835" w:type="dxa"/>
          <w:tcBorders>
            <w:bottom w:val="single" w:sz="4" w:space="0" w:color="4F81BD"/>
          </w:tcBorders>
        </w:tcPr>
        <w:p w:rsidR="0026410A" w:rsidRDefault="00E35E84">
          <w:pPr>
            <w:pStyle w:val="a5"/>
            <w:rPr>
              <w:rFonts w:ascii="Cambria" w:hAnsi="Cambria"/>
              <w:b/>
              <w:bCs/>
            </w:rPr>
          </w:pPr>
          <w:r>
            <w:rPr>
              <w:sz w:val="15"/>
              <w:szCs w:val="15"/>
            </w:rPr>
            <w:t>Fax</w:t>
          </w:r>
          <w:r>
            <w:rPr>
              <w:rFonts w:hint="eastAsia"/>
              <w:sz w:val="15"/>
              <w:szCs w:val="15"/>
            </w:rPr>
            <w:t>：</w:t>
          </w:r>
          <w:r>
            <w:rPr>
              <w:sz w:val="15"/>
              <w:szCs w:val="15"/>
            </w:rPr>
            <w:t>010-82491279</w:t>
          </w:r>
        </w:p>
      </w:tc>
    </w:tr>
    <w:tr w:rsidR="0026410A">
      <w:trPr>
        <w:trHeight w:val="150"/>
      </w:trPr>
      <w:tc>
        <w:tcPr>
          <w:tcW w:w="3835" w:type="dxa"/>
          <w:tcBorders>
            <w:top w:val="single" w:sz="4" w:space="0" w:color="4F81BD"/>
          </w:tcBorders>
        </w:tcPr>
        <w:p w:rsidR="0026410A" w:rsidRDefault="00E35E84">
          <w:pPr>
            <w:pStyle w:val="a5"/>
            <w:jc w:val="left"/>
            <w:rPr>
              <w:rFonts w:ascii="Cambria" w:hAnsi="Cambria"/>
              <w:b/>
              <w:bCs/>
            </w:rPr>
          </w:pPr>
          <w:r>
            <w:rPr>
              <w:rFonts w:hint="eastAsia"/>
              <w:sz w:val="15"/>
              <w:szCs w:val="15"/>
            </w:rPr>
            <w:t>北京市海淀区北清路</w:t>
          </w:r>
          <w:r>
            <w:rPr>
              <w:sz w:val="15"/>
              <w:szCs w:val="15"/>
            </w:rPr>
            <w:t>103</w:t>
          </w:r>
          <w:r>
            <w:rPr>
              <w:rFonts w:hint="eastAsia"/>
              <w:sz w:val="15"/>
              <w:szCs w:val="15"/>
            </w:rPr>
            <w:t>号超然时代</w:t>
          </w:r>
          <w:r>
            <w:rPr>
              <w:sz w:val="15"/>
              <w:szCs w:val="15"/>
            </w:rPr>
            <w:t>2</w:t>
          </w:r>
          <w:r>
            <w:rPr>
              <w:rFonts w:hint="eastAsia"/>
              <w:sz w:val="15"/>
              <w:szCs w:val="15"/>
            </w:rPr>
            <w:t>号楼</w:t>
          </w:r>
          <w:r>
            <w:rPr>
              <w:sz w:val="15"/>
              <w:szCs w:val="15"/>
            </w:rPr>
            <w:t>2-2#</w:t>
          </w:r>
          <w:r>
            <w:rPr>
              <w:sz w:val="15"/>
              <w:szCs w:val="15"/>
            </w:rPr>
            <w:tab/>
          </w:r>
        </w:p>
      </w:tc>
      <w:tc>
        <w:tcPr>
          <w:tcW w:w="852" w:type="dxa"/>
          <w:vMerge/>
        </w:tcPr>
        <w:p w:rsidR="0026410A" w:rsidRDefault="0026410A">
          <w:pPr>
            <w:pStyle w:val="a5"/>
            <w:rPr>
              <w:rFonts w:ascii="Cambria" w:hAnsi="Cambria"/>
              <w:b/>
              <w:bCs/>
            </w:rPr>
          </w:pPr>
        </w:p>
      </w:tc>
      <w:tc>
        <w:tcPr>
          <w:tcW w:w="3835" w:type="dxa"/>
          <w:tcBorders>
            <w:top w:val="single" w:sz="4" w:space="0" w:color="4F81BD"/>
          </w:tcBorders>
        </w:tcPr>
        <w:p w:rsidR="0026410A" w:rsidRDefault="00E35E84">
          <w:pPr>
            <w:pStyle w:val="a5"/>
            <w:rPr>
              <w:rFonts w:ascii="Cambria" w:hAnsi="Cambria"/>
              <w:b/>
              <w:bCs/>
            </w:rPr>
          </w:pPr>
          <w:r>
            <w:rPr>
              <w:sz w:val="15"/>
              <w:szCs w:val="15"/>
            </w:rPr>
            <w:t>Tel</w:t>
          </w:r>
          <w:r>
            <w:rPr>
              <w:rFonts w:hint="eastAsia"/>
              <w:sz w:val="15"/>
              <w:szCs w:val="15"/>
            </w:rPr>
            <w:t>：</w:t>
          </w:r>
          <w:r>
            <w:rPr>
              <w:sz w:val="15"/>
              <w:szCs w:val="15"/>
            </w:rPr>
            <w:t xml:space="preserve"> 010-82491089</w:t>
          </w:r>
        </w:p>
      </w:tc>
    </w:tr>
  </w:tbl>
  <w:p w:rsidR="0026410A" w:rsidRDefault="0026410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5E84" w:rsidRDefault="00E35E84" w:rsidP="0026410A">
      <w:r>
        <w:separator/>
      </w:r>
    </w:p>
  </w:footnote>
  <w:footnote w:type="continuationSeparator" w:id="0">
    <w:p w:rsidR="00E35E84" w:rsidRDefault="00E35E84" w:rsidP="002641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10A" w:rsidRDefault="0026410A">
    <w:pPr>
      <w:pStyle w:val="a5"/>
      <w:jc w:val="both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6" o:spid="_x0000_i1025" type="#_x0000_t75" style="width:153.5pt;height:57.05pt">
          <v:imagedata r:id="rId1" o:title="2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7F31"/>
    <w:rsid w:val="00011520"/>
    <w:rsid w:val="00011CBD"/>
    <w:rsid w:val="00033FF2"/>
    <w:rsid w:val="000E0B6B"/>
    <w:rsid w:val="000E2A1D"/>
    <w:rsid w:val="000E394D"/>
    <w:rsid w:val="0011799E"/>
    <w:rsid w:val="00136677"/>
    <w:rsid w:val="00137104"/>
    <w:rsid w:val="00147A71"/>
    <w:rsid w:val="00162B2A"/>
    <w:rsid w:val="001B32C5"/>
    <w:rsid w:val="001D0B7D"/>
    <w:rsid w:val="001F11A8"/>
    <w:rsid w:val="001F6452"/>
    <w:rsid w:val="00237F31"/>
    <w:rsid w:val="0026410A"/>
    <w:rsid w:val="00287B95"/>
    <w:rsid w:val="00295166"/>
    <w:rsid w:val="00306DBC"/>
    <w:rsid w:val="003250F3"/>
    <w:rsid w:val="00344981"/>
    <w:rsid w:val="0036353C"/>
    <w:rsid w:val="00370408"/>
    <w:rsid w:val="00397334"/>
    <w:rsid w:val="003E17E7"/>
    <w:rsid w:val="00401CAA"/>
    <w:rsid w:val="0041400D"/>
    <w:rsid w:val="00422687"/>
    <w:rsid w:val="00422DA8"/>
    <w:rsid w:val="004265BD"/>
    <w:rsid w:val="004634C0"/>
    <w:rsid w:val="00467DF1"/>
    <w:rsid w:val="00486AC0"/>
    <w:rsid w:val="004F035D"/>
    <w:rsid w:val="00502015"/>
    <w:rsid w:val="00526E53"/>
    <w:rsid w:val="00531DDC"/>
    <w:rsid w:val="00534502"/>
    <w:rsid w:val="0058469C"/>
    <w:rsid w:val="005A2B53"/>
    <w:rsid w:val="005E156C"/>
    <w:rsid w:val="005E461C"/>
    <w:rsid w:val="005F6CD9"/>
    <w:rsid w:val="00653128"/>
    <w:rsid w:val="0066702B"/>
    <w:rsid w:val="006B4F70"/>
    <w:rsid w:val="007165FC"/>
    <w:rsid w:val="007A05CE"/>
    <w:rsid w:val="007F6BEE"/>
    <w:rsid w:val="00872CD8"/>
    <w:rsid w:val="008B766E"/>
    <w:rsid w:val="008F23EE"/>
    <w:rsid w:val="00902B2D"/>
    <w:rsid w:val="00902CDE"/>
    <w:rsid w:val="009155A8"/>
    <w:rsid w:val="00922C49"/>
    <w:rsid w:val="009345F8"/>
    <w:rsid w:val="0093569C"/>
    <w:rsid w:val="00972D88"/>
    <w:rsid w:val="00986C11"/>
    <w:rsid w:val="00987E4E"/>
    <w:rsid w:val="009A37E5"/>
    <w:rsid w:val="009E4E22"/>
    <w:rsid w:val="00A25702"/>
    <w:rsid w:val="00A67B86"/>
    <w:rsid w:val="00A7215D"/>
    <w:rsid w:val="00A73084"/>
    <w:rsid w:val="00A97AFB"/>
    <w:rsid w:val="00AF6E6D"/>
    <w:rsid w:val="00B27C51"/>
    <w:rsid w:val="00B409AE"/>
    <w:rsid w:val="00BC42B0"/>
    <w:rsid w:val="00BE4B14"/>
    <w:rsid w:val="00BF048B"/>
    <w:rsid w:val="00C11287"/>
    <w:rsid w:val="00C3247F"/>
    <w:rsid w:val="00C361D1"/>
    <w:rsid w:val="00C4650D"/>
    <w:rsid w:val="00C5260E"/>
    <w:rsid w:val="00C775CE"/>
    <w:rsid w:val="00C77D8A"/>
    <w:rsid w:val="00D25E74"/>
    <w:rsid w:val="00D303A8"/>
    <w:rsid w:val="00D37DEC"/>
    <w:rsid w:val="00D44968"/>
    <w:rsid w:val="00D53370"/>
    <w:rsid w:val="00D648D1"/>
    <w:rsid w:val="00D833F5"/>
    <w:rsid w:val="00D84FE6"/>
    <w:rsid w:val="00D8729C"/>
    <w:rsid w:val="00D906FE"/>
    <w:rsid w:val="00DD545D"/>
    <w:rsid w:val="00E13897"/>
    <w:rsid w:val="00E20653"/>
    <w:rsid w:val="00E2512F"/>
    <w:rsid w:val="00E35E84"/>
    <w:rsid w:val="00E85F6F"/>
    <w:rsid w:val="00E970AE"/>
    <w:rsid w:val="00EE2838"/>
    <w:rsid w:val="00F35E2A"/>
    <w:rsid w:val="00F66E84"/>
    <w:rsid w:val="00F838D4"/>
    <w:rsid w:val="00F87200"/>
    <w:rsid w:val="00FA23F2"/>
    <w:rsid w:val="089A1F2A"/>
    <w:rsid w:val="57782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header" w:semiHidden="0" w:uiPriority="99" w:unhideWhenUsed="0"/>
    <w:lsdException w:name="footer" w:semiHidden="0" w:uiPriority="99" w:unhideWhenUsed="0"/>
    <w:lsdException w:name="caption" w:locked="1" w:qFormat="1"/>
    <w:lsdException w:name="Title" w:locked="1" w:semiHidden="0" w:unhideWhenUsed="0" w:qFormat="1"/>
    <w:lsdException w:name="Default Paragraph Font" w:uiPriority="1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 w:unhideWhenUsed="0"/>
    <w:lsdException w:name="Table Grid" w:semiHidden="0" w:uiPriority="9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10A"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26410A"/>
    <w:rPr>
      <w:sz w:val="18"/>
      <w:szCs w:val="18"/>
    </w:rPr>
  </w:style>
  <w:style w:type="paragraph" w:styleId="a4">
    <w:name w:val="footer"/>
    <w:basedOn w:val="a"/>
    <w:link w:val="Char0"/>
    <w:uiPriority w:val="99"/>
    <w:rsid w:val="002641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2641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rsid w:val="0026410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uiPriority w:val="99"/>
    <w:rsid w:val="0026410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无间隔1"/>
    <w:link w:val="Char2"/>
    <w:uiPriority w:val="99"/>
    <w:qFormat/>
    <w:rsid w:val="0026410A"/>
    <w:rPr>
      <w:rFonts w:cs="Times New Roman"/>
      <w:sz w:val="22"/>
      <w:szCs w:val="22"/>
    </w:rPr>
  </w:style>
  <w:style w:type="paragraph" w:customStyle="1" w:styleId="10">
    <w:name w:val="列出段落1"/>
    <w:basedOn w:val="a"/>
    <w:uiPriority w:val="34"/>
    <w:qFormat/>
    <w:rsid w:val="0026410A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locked/>
    <w:rsid w:val="0026410A"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26410A"/>
    <w:rPr>
      <w:rFonts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26410A"/>
    <w:rPr>
      <w:rFonts w:cs="Times New Roman"/>
      <w:sz w:val="18"/>
      <w:szCs w:val="18"/>
    </w:rPr>
  </w:style>
  <w:style w:type="character" w:customStyle="1" w:styleId="Char2">
    <w:name w:val="无间隔 Char"/>
    <w:basedOn w:val="a0"/>
    <w:link w:val="1"/>
    <w:uiPriority w:val="99"/>
    <w:locked/>
    <w:rsid w:val="0026410A"/>
    <w:rPr>
      <w:rFonts w:cs="Times New Roman"/>
      <w:sz w:val="22"/>
      <w:szCs w:val="22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Rabbit Anti-Mouse(Fc specific) IgG-QD产品使用说明书</dc:title>
  <dc:creator>史维维</dc:creator>
  <cp:lastModifiedBy>苏慧哲</cp:lastModifiedBy>
  <cp:revision>1</cp:revision>
  <cp:lastPrinted>2014-03-14T06:12:00Z</cp:lastPrinted>
  <dcterms:created xsi:type="dcterms:W3CDTF">2014-02-26T02:49:00Z</dcterms:created>
  <dcterms:modified xsi:type="dcterms:W3CDTF">2015-04-30T08:24:00Z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