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31" w:firstLineChars="147"/>
        <w:jc w:val="center"/>
        <w:rPr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Streptavidin- QD</w:t>
      </w:r>
      <w:r>
        <w:rPr>
          <w:rFonts w:hint="eastAsia" w:ascii="Times New Roman" w:hAnsi="Times New Roman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>
      <w:pPr>
        <w:ind w:firstLine="829" w:firstLineChars="395"/>
        <w:rPr>
          <w:szCs w:val="21"/>
        </w:rPr>
      </w:pPr>
    </w:p>
    <w:p>
      <w:pPr>
        <w:widowControl/>
        <w:shd w:val="clear" w:color="auto" w:fill="FFFFFF"/>
        <w:spacing w:beforeLines="50" w:line="440" w:lineRule="exact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szCs w:val="21"/>
          <w:u w:val="single"/>
        </w:rPr>
        <w:t>技术背景</w:t>
      </w:r>
      <w:r>
        <w:rPr>
          <w:rFonts w:hint="eastAsia" w:ascii="Times New Roman" w:hAnsi="Times New Roman"/>
          <w:szCs w:val="21"/>
        </w:rPr>
        <w:t>：链霉亲和素</w:t>
      </w:r>
      <w:r>
        <w:rPr>
          <w:rFonts w:ascii="Times New Roman" w:hAnsi="Times New Roman"/>
          <w:szCs w:val="21"/>
        </w:rPr>
        <w:t>(Streptavidin</w:t>
      </w:r>
      <w:r>
        <w:rPr>
          <w:rFonts w:hint="eastAsia"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SA</w:t>
      </w:r>
      <w:r>
        <w:rPr>
          <w:rFonts w:hint="eastAsia" w:ascii="Times New Roman" w:hAnsi="Times New Roman"/>
          <w:szCs w:val="21"/>
        </w:rPr>
        <w:t>，也称链霉抗生物素蛋白</w:t>
      </w:r>
      <w:r>
        <w:rPr>
          <w:rFonts w:ascii="Times New Roman" w:hAnsi="Times New Roman"/>
          <w:szCs w:val="21"/>
        </w:rPr>
        <w:t>)</w:t>
      </w:r>
      <w:r>
        <w:rPr>
          <w:rFonts w:hint="eastAsia" w:ascii="Times New Roman" w:hAnsi="Times New Roman"/>
          <w:szCs w:val="21"/>
        </w:rPr>
        <w:t>是链霉菌</w:t>
      </w:r>
      <w:r>
        <w:rPr>
          <w:rFonts w:ascii="Times New Roman" w:hAnsi="Times New Roman"/>
          <w:i/>
          <w:szCs w:val="21"/>
        </w:rPr>
        <w:t>Streptomyces avidinii</w:t>
      </w:r>
      <w:r>
        <w:rPr>
          <w:rFonts w:hint="eastAsia" w:ascii="Times New Roman" w:hAnsi="Times New Roman"/>
          <w:szCs w:val="21"/>
        </w:rPr>
        <w:t>分泌的、分子量大</w:t>
      </w:r>
      <w:bookmarkStart w:id="0" w:name="_GoBack"/>
      <w:bookmarkEnd w:id="0"/>
      <w:r>
        <w:rPr>
          <w:rFonts w:hint="eastAsia" w:ascii="Times New Roman" w:hAnsi="Times New Roman"/>
          <w:szCs w:val="21"/>
        </w:rPr>
        <w:t>小为</w:t>
      </w:r>
      <w:r>
        <w:rPr>
          <w:rFonts w:ascii="Times New Roman" w:hAnsi="Times New Roman"/>
          <w:szCs w:val="21"/>
        </w:rPr>
        <w:t>65kD</w:t>
      </w:r>
      <w:r>
        <w:rPr>
          <w:rFonts w:hint="eastAsia" w:ascii="Times New Roman" w:hAnsi="Times New Roman"/>
          <w:szCs w:val="21"/>
        </w:rPr>
        <w:t>的同源四聚体蛋白质。链霉亲和素对生物素</w:t>
      </w:r>
      <w:r>
        <w:rPr>
          <w:rFonts w:ascii="Times New Roman" w:hAnsi="Times New Roman"/>
          <w:szCs w:val="21"/>
        </w:rPr>
        <w:t>(</w:t>
      </w:r>
      <w:r>
        <w:rPr>
          <w:rFonts w:hint="eastAsia" w:ascii="Times New Roman" w:hAnsi="Times New Roman"/>
          <w:szCs w:val="21"/>
        </w:rPr>
        <w:t>即维生素</w:t>
      </w:r>
      <w:r>
        <w:rPr>
          <w:rFonts w:ascii="Times New Roman" w:hAnsi="Times New Roman"/>
          <w:szCs w:val="21"/>
        </w:rPr>
        <w:t>B7</w:t>
      </w:r>
      <w:r>
        <w:rPr>
          <w:rFonts w:hint="eastAsia" w:ascii="Times New Roman" w:hAnsi="Times New Roman"/>
          <w:szCs w:val="21"/>
        </w:rPr>
        <w:t>或维生素</w:t>
      </w:r>
      <w:r>
        <w:rPr>
          <w:rFonts w:ascii="Times New Roman" w:hAnsi="Times New Roman"/>
          <w:szCs w:val="21"/>
        </w:rPr>
        <w:t>H)</w:t>
      </w:r>
      <w:r>
        <w:rPr>
          <w:rFonts w:hint="eastAsia" w:ascii="Times New Roman" w:hAnsi="Times New Roman"/>
          <w:szCs w:val="21"/>
        </w:rPr>
        <w:t>具有极高的亲和力，解离常数</w:t>
      </w:r>
      <w:r>
        <w:rPr>
          <w:rFonts w:ascii="Times New Roman" w:hAnsi="Times New Roman"/>
          <w:szCs w:val="21"/>
        </w:rPr>
        <w:t>(K</w:t>
      </w:r>
      <w:r>
        <w:rPr>
          <w:rFonts w:ascii="Times New Roman" w:hAnsi="Times New Roman"/>
          <w:szCs w:val="21"/>
          <w:vertAlign w:val="subscript"/>
        </w:rPr>
        <w:t>d</w:t>
      </w:r>
      <w:r>
        <w:rPr>
          <w:rFonts w:ascii="Times New Roman" w:hAnsi="Times New Roman"/>
          <w:szCs w:val="21"/>
        </w:rPr>
        <w:t>)</w:t>
      </w:r>
      <w:r>
        <w:rPr>
          <w:rFonts w:hint="eastAsia" w:ascii="Times New Roman" w:hAnsi="Times New Roman"/>
          <w:szCs w:val="21"/>
        </w:rPr>
        <w:t>约为</w:t>
      </w:r>
      <w:r>
        <w:rPr>
          <w:rFonts w:ascii="Times New Roman" w:hAnsi="Times New Roman"/>
          <w:szCs w:val="21"/>
        </w:rPr>
        <w:t>10</w:t>
      </w:r>
      <w:r>
        <w:rPr>
          <w:rFonts w:ascii="Times New Roman" w:hAnsi="Times New Roman"/>
          <w:szCs w:val="21"/>
          <w:vertAlign w:val="superscript"/>
        </w:rPr>
        <w:t>−14</w:t>
      </w:r>
      <w:r>
        <w:rPr>
          <w:rFonts w:ascii="Times New Roman" w:hAnsi="Times New Roman"/>
          <w:szCs w:val="21"/>
        </w:rPr>
        <w:t xml:space="preserve"> mol/L</w:t>
      </w:r>
      <w:r>
        <w:rPr>
          <w:rFonts w:hint="eastAsia" w:ascii="Times New Roman" w:hAnsi="Times New Roman"/>
          <w:szCs w:val="21"/>
        </w:rPr>
        <w:t>，分子的每条肽链都能结合一个生物素，即一个链霉亲和素能结合四个生物素。与鸡蛋来源的亲和素</w:t>
      </w:r>
      <w:r>
        <w:rPr>
          <w:rFonts w:ascii="Times New Roman" w:hAnsi="Times New Roman"/>
          <w:szCs w:val="21"/>
        </w:rPr>
        <w:t>(Avidin)</w:t>
      </w:r>
      <w:r>
        <w:rPr>
          <w:rFonts w:hint="eastAsia" w:ascii="Times New Roman" w:hAnsi="Times New Roman"/>
          <w:szCs w:val="21"/>
        </w:rPr>
        <w:t>相比，链霉亲和素呈弱酸性，等电点</w:t>
      </w:r>
      <w:r>
        <w:rPr>
          <w:rFonts w:ascii="Times New Roman" w:hAnsi="Times New Roman"/>
          <w:szCs w:val="21"/>
        </w:rPr>
        <w:t>(pI)</w:t>
      </w:r>
      <w:r>
        <w:rPr>
          <w:rFonts w:hint="eastAsia" w:ascii="Times New Roman" w:hAnsi="Times New Roman"/>
          <w:szCs w:val="21"/>
        </w:rPr>
        <w:t>约</w:t>
      </w:r>
      <w:r>
        <w:rPr>
          <w:rFonts w:ascii="Times New Roman" w:hAnsi="Times New Roman"/>
          <w:szCs w:val="21"/>
        </w:rPr>
        <w:t>6.0</w:t>
      </w:r>
      <w:r>
        <w:rPr>
          <w:rFonts w:hint="eastAsia" w:ascii="Times New Roman" w:hAnsi="Times New Roman"/>
          <w:szCs w:val="21"/>
        </w:rPr>
        <w:t>，不含糖基，生物素结合力稍弱但特异性更好，对多数生物素修饰的物质具有更高的亲和力；同时链霉亲和素</w:t>
      </w:r>
      <w:r>
        <w:rPr>
          <w:rFonts w:ascii="Times New Roman" w:hAnsi="Times New Roman"/>
          <w:szCs w:val="21"/>
        </w:rPr>
        <w:t>-</w:t>
      </w:r>
      <w:r>
        <w:rPr>
          <w:rFonts w:hint="eastAsia" w:ascii="Times New Roman" w:hAnsi="Times New Roman"/>
          <w:szCs w:val="21"/>
        </w:rPr>
        <w:t>生物素复合物对有机溶剂、变性剂</w:t>
      </w:r>
      <w:r>
        <w:rPr>
          <w:rFonts w:ascii="Times New Roman" w:hAnsi="Times New Roman"/>
          <w:szCs w:val="21"/>
        </w:rPr>
        <w:t>(</w:t>
      </w:r>
      <w:r>
        <w:rPr>
          <w:rFonts w:hint="eastAsia" w:ascii="Times New Roman" w:hAnsi="Times New Roman"/>
          <w:szCs w:val="21"/>
        </w:rPr>
        <w:t>如尿素</w:t>
      </w:r>
      <w:r>
        <w:rPr>
          <w:rFonts w:ascii="Times New Roman" w:hAnsi="Times New Roman"/>
          <w:szCs w:val="21"/>
        </w:rPr>
        <w:t>)</w:t>
      </w:r>
      <w:r>
        <w:rPr>
          <w:rFonts w:hint="eastAsia" w:ascii="Times New Roman" w:hAnsi="Times New Roman"/>
          <w:szCs w:val="21"/>
        </w:rPr>
        <w:t>、洗涤剂</w:t>
      </w:r>
      <w:r>
        <w:rPr>
          <w:rFonts w:ascii="Times New Roman" w:hAnsi="Times New Roman"/>
          <w:szCs w:val="21"/>
        </w:rPr>
        <w:t>(</w:t>
      </w:r>
      <w:r>
        <w:rPr>
          <w:rFonts w:hint="eastAsia" w:ascii="Times New Roman" w:hAnsi="Times New Roman"/>
          <w:szCs w:val="21"/>
        </w:rPr>
        <w:t>如</w:t>
      </w:r>
      <w:r>
        <w:rPr>
          <w:rFonts w:ascii="Times New Roman" w:hAnsi="Times New Roman"/>
          <w:szCs w:val="21"/>
        </w:rPr>
        <w:t>SDS</w:t>
      </w:r>
      <w:r>
        <w:rPr>
          <w:rFonts w:hint="eastAsia" w:ascii="Times New Roman" w:hAnsi="Times New Roman"/>
          <w:szCs w:val="21"/>
        </w:rPr>
        <w:t>、曲拉通</w:t>
      </w:r>
      <w:r>
        <w:rPr>
          <w:rFonts w:ascii="Times New Roman" w:hAnsi="Times New Roman"/>
          <w:szCs w:val="21"/>
        </w:rPr>
        <w:t>)</w:t>
      </w:r>
      <w:r>
        <w:rPr>
          <w:rFonts w:hint="eastAsia" w:ascii="Times New Roman" w:hAnsi="Times New Roman"/>
          <w:szCs w:val="21"/>
        </w:rPr>
        <w:t>、蛋白水解酶类、极端温度以及</w:t>
      </w:r>
      <w:r>
        <w:rPr>
          <w:rFonts w:ascii="Times New Roman" w:hAnsi="Times New Roman"/>
          <w:szCs w:val="21"/>
        </w:rPr>
        <w:t>pH</w:t>
      </w:r>
      <w:r>
        <w:rPr>
          <w:rFonts w:hint="eastAsia" w:ascii="Times New Roman" w:hAnsi="Times New Roman"/>
          <w:szCs w:val="21"/>
        </w:rPr>
        <w:t>具有良好耐受力，因此被广泛应用于免疫学、分子生物学方法和生物纳米标记技术中。</w:t>
      </w:r>
    </w:p>
    <w:p>
      <w:pPr>
        <w:spacing w:line="440" w:lineRule="exact"/>
        <w:ind w:firstLine="420" w:firstLineChars="200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本产品采用大肠杆菌异源表达的重组链霉亲和素</w:t>
      </w:r>
      <w:r>
        <w:rPr>
          <w:rFonts w:ascii="Times New Roman" w:hAnsi="Times New Roman"/>
          <w:szCs w:val="21"/>
        </w:rPr>
        <w:t>(MW</w:t>
      </w:r>
      <w:r>
        <w:rPr>
          <w:rFonts w:hint="eastAsia"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~60kD)</w:t>
      </w:r>
      <w:r>
        <w:rPr>
          <w:rFonts w:hint="eastAsia" w:ascii="Times New Roman" w:hAnsi="Times New Roman"/>
          <w:szCs w:val="21"/>
        </w:rPr>
        <w:t>，可高效且位点特异性结合与量子点结合，利用链霉亲和素与生物素标记试剂</w:t>
      </w:r>
      <w:r>
        <w:rPr>
          <w:rFonts w:ascii="Times New Roman" w:hAnsi="Times New Roman"/>
          <w:szCs w:val="21"/>
        </w:rPr>
        <w:t>(</w:t>
      </w:r>
      <w:r>
        <w:rPr>
          <w:rFonts w:hint="eastAsia" w:ascii="Times New Roman" w:hAnsi="Times New Roman"/>
          <w:szCs w:val="21"/>
        </w:rPr>
        <w:t>如生物素修饰抗体、生物素标记核酸探针和生物素修饰蛋白</w:t>
      </w:r>
      <w:r>
        <w:rPr>
          <w:rFonts w:ascii="Times New Roman" w:hAnsi="Times New Roman"/>
          <w:szCs w:val="21"/>
        </w:rPr>
        <w:t>)</w:t>
      </w:r>
      <w:r>
        <w:rPr>
          <w:rFonts w:hint="eastAsia" w:ascii="Times New Roman" w:hAnsi="Times New Roman"/>
          <w:szCs w:val="21"/>
        </w:rPr>
        <w:t>的高</w:t>
      </w:r>
      <w:r>
        <w:fldChar w:fldCharType="begin"/>
      </w:r>
      <w:r>
        <w:instrText xml:space="preserve">HYPERLINK "http://baike.baidu.com/view/493688.htm" \t "_blank"</w:instrText>
      </w:r>
      <w:r>
        <w:fldChar w:fldCharType="separate"/>
      </w:r>
      <w:r>
        <w:rPr>
          <w:rFonts w:hint="eastAsia" w:ascii="Times New Roman" w:hAnsi="Times New Roman"/>
          <w:szCs w:val="21"/>
        </w:rPr>
        <w:t>亲和力</w:t>
      </w:r>
      <w:r>
        <w:fldChar w:fldCharType="end"/>
      </w:r>
      <w:r>
        <w:rPr>
          <w:rFonts w:hint="eastAsia" w:ascii="Times New Roman" w:hAnsi="Times New Roman"/>
          <w:szCs w:val="21"/>
        </w:rPr>
        <w:t>，以及多级</w:t>
      </w:r>
      <w:r>
        <w:fldChar w:fldCharType="begin"/>
      </w:r>
      <w:r>
        <w:instrText xml:space="preserve">HYPERLINK "http://baike.baidu.com/view/1332536.htm" \t "_blank" </w:instrText>
      </w:r>
      <w:r>
        <w:fldChar w:fldCharType="separate"/>
      </w:r>
      <w:r>
        <w:rPr>
          <w:rFonts w:hint="eastAsia" w:ascii="Times New Roman" w:hAnsi="Times New Roman"/>
          <w:szCs w:val="21"/>
        </w:rPr>
        <w:t>放大效应</w:t>
      </w:r>
      <w:r>
        <w:fldChar w:fldCharType="end"/>
      </w:r>
      <w:r>
        <w:rPr>
          <w:rFonts w:hint="eastAsia" w:ascii="Times New Roman" w:hAnsi="Times New Roman"/>
          <w:szCs w:val="21"/>
        </w:rPr>
        <w:t>和量子点高效荧光特性，用于</w:t>
      </w:r>
      <w:r>
        <w:fldChar w:fldCharType="begin"/>
      </w:r>
      <w:r>
        <w:instrText xml:space="preserve">HYPERLINK "http://baike.baidu.com/view/346547.htm" \t "_blank" </w:instrText>
      </w:r>
      <w:r>
        <w:fldChar w:fldCharType="separate"/>
      </w:r>
      <w:r>
        <w:rPr>
          <w:rFonts w:hint="eastAsia" w:ascii="Times New Roman" w:hAnsi="Times New Roman"/>
          <w:szCs w:val="21"/>
        </w:rPr>
        <w:t>检测</w:t>
      </w:r>
      <w:r>
        <w:fldChar w:fldCharType="end"/>
      </w:r>
      <w:r>
        <w:rPr>
          <w:rFonts w:hint="eastAsia" w:ascii="Times New Roman" w:hAnsi="Times New Roman"/>
          <w:szCs w:val="21"/>
        </w:rPr>
        <w:t>与免疫荧光示踪更为灵敏。量子点组成为</w:t>
      </w:r>
      <w:r>
        <w:rPr>
          <w:rFonts w:ascii="Times New Roman" w:hAnsi="Times New Roman"/>
          <w:szCs w:val="21"/>
        </w:rPr>
        <w:t>CdSe/ZnS</w:t>
      </w:r>
      <w:r>
        <w:rPr>
          <w:rFonts w:hint="eastAsia" w:ascii="Times New Roman" w:hAnsi="Times New Roman"/>
          <w:szCs w:val="21"/>
        </w:rPr>
        <w:t>，发射波长为5</w:t>
      </w:r>
      <w:r>
        <w:rPr>
          <w:rFonts w:ascii="Times New Roman" w:hAnsi="Times New Roman"/>
          <w:szCs w:val="21"/>
        </w:rPr>
        <w:t>25</w:t>
      </w:r>
      <w:r>
        <w:rPr>
          <w:rFonts w:hint="eastAsia" w:ascii="Times New Roman" w:hAnsi="Times New Roman"/>
          <w:szCs w:val="21"/>
          <w:lang w:val="en-US" w:eastAsia="zh-CN"/>
        </w:rPr>
        <w:t>-665</w:t>
      </w:r>
      <w:r>
        <w:rPr>
          <w:rFonts w:ascii="Times New Roman" w:hAnsi="Times New Roman"/>
          <w:szCs w:val="21"/>
        </w:rPr>
        <w:t xml:space="preserve"> nm</w:t>
      </w:r>
      <w:r>
        <w:rPr>
          <w:rFonts w:hint="eastAsia" w:ascii="Times New Roman" w:hAnsi="Times New Roman"/>
          <w:szCs w:val="21"/>
          <w:lang w:eastAsia="zh-CN"/>
        </w:rPr>
        <w:t>可调</w:t>
      </w:r>
      <w:r>
        <w:rPr>
          <w:rFonts w:hint="eastAsia" w:ascii="Times New Roman" w:hAnsi="Times New Roman"/>
          <w:szCs w:val="21"/>
        </w:rPr>
        <w:t>。</w:t>
      </w:r>
    </w:p>
    <w:tbl>
      <w:tblPr>
        <w:tblStyle w:val="6"/>
        <w:tblW w:w="8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产品编号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Q110</w:t>
            </w:r>
            <w:r>
              <w:rPr>
                <w:rFonts w:hint="eastAsia"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/Q110</w:t>
            </w:r>
            <w:r>
              <w:rPr>
                <w:rFonts w:hint="eastAsia"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Streptavidin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Q11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Q11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Streptavidin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Q11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Q11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Streptavidin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Q11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Q11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jc w:val="left"/>
              <w:rPr>
                <w:rFonts w:hint="eastAsia" w:asci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Streptavidin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Q11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Q11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jc w:val="left"/>
              <w:rPr>
                <w:rFonts w:hint="eastAsia"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Streptavidin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Q11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Q11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jc w:val="left"/>
              <w:rPr>
                <w:rFonts w:hint="eastAsia"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Streptavidin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5" w:type="dxa"/>
            <w:gridSpan w:val="2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</w:p>
          <w:p>
            <w:pPr>
              <w:ind w:left="126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【规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格】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ascii="Times New Roman"/>
                <w:color w:val="000000"/>
              </w:rPr>
              <w:t>【浓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宋体"/>
                <w:color w:val="000000"/>
              </w:rPr>
              <w:t>度</w:t>
            </w:r>
            <w:r>
              <w:rPr>
                <w:rFonts w:hint="eastAsia" w:ascii="Times New Roman"/>
                <w:color w:val="000000"/>
              </w:rPr>
              <w:t>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hint="eastAsia" w:ascii="Times New Roman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>
            <w:pPr>
              <w:ind w:left="1260" w:hanging="1260" w:hangingChars="600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【保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℃</w:t>
            </w:r>
            <w:r>
              <w:rPr>
                <w:rFonts w:hint="eastAsia" w:ascii="Times New Roman" w:hAnsi="Times New Roman"/>
                <w:color w:val="000000"/>
              </w:rPr>
              <w:t>可保</w:t>
            </w:r>
            <w:r>
              <w:rPr>
                <w:rFonts w:hint="eastAsia" w:ascii="Times New Roman"/>
                <w:color w:val="000000"/>
              </w:rPr>
              <w:t>存三个月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color w:val="000000"/>
              </w:rPr>
              <w:t>【注意事项】</w:t>
            </w:r>
            <w:r>
              <w:rPr>
                <w:rFonts w:hint="eastAsia" w:ascii="Times New Roman"/>
              </w:rPr>
              <w:t>禁止冷冻</w:t>
            </w:r>
          </w:p>
        </w:tc>
      </w:tr>
    </w:tbl>
    <w:p>
      <w:pPr>
        <w:ind w:firstLine="829" w:firstLineChars="395"/>
        <w:rPr>
          <w:szCs w:val="21"/>
        </w:rPr>
      </w:pPr>
    </w:p>
    <w:p>
      <w:pPr>
        <w:spacing w:line="200" w:lineRule="exact"/>
        <w:ind w:firstLine="829" w:firstLineChars="395"/>
        <w:rPr>
          <w:szCs w:val="21"/>
        </w:rPr>
      </w:pPr>
    </w:p>
    <w:p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储存液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ascii="Times New Roman" w:hAnsi="Times New Roman"/>
          <w:color w:val="000000"/>
          <w:szCs w:val="21"/>
        </w:rPr>
        <w:t>H</w:t>
      </w:r>
      <w:r>
        <w:rPr>
          <w:rFonts w:ascii="Times New Roman" w:hAnsi="Times New Roman"/>
          <w:color w:val="000000"/>
          <w:szCs w:val="21"/>
          <w:vertAlign w:val="subscript"/>
        </w:rPr>
        <w:t>2</w:t>
      </w:r>
      <w:r>
        <w:rPr>
          <w:rFonts w:ascii="Times New Roman" w:hAnsi="Times New Roman"/>
          <w:color w:val="000000"/>
          <w:szCs w:val="21"/>
        </w:rPr>
        <w:t xml:space="preserve">O </w:t>
      </w:r>
      <w:r>
        <w:rPr>
          <w:rFonts w:ascii="Times New Roman"/>
          <w:color w:val="000000"/>
          <w:szCs w:val="21"/>
        </w:rPr>
        <w:t>(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应用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免疫组化、免疫荧光、蛋白印记、细胞相关分析实验、流式细胞术。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>
      <w:pPr>
        <w:spacing w:before="50" w:line="400" w:lineRule="exact"/>
        <w:ind w:firstLine="2520" w:firstLineChars="12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具体实验过程中，应根据不同用途选择合适的量子点标记物工作浓度。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保存说明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自生产之日起，</w:t>
      </w:r>
      <w:r>
        <w:rPr>
          <w:rFonts w:hint="eastAsia" w:ascii="Times New Roman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hint="eastAsia" w:ascii="宋体" w:hAnsi="宋体" w:cs="宋体"/>
          <w:color w:val="000000"/>
        </w:rPr>
        <w:t>℃</w:t>
      </w:r>
      <w:r>
        <w:rPr>
          <w:rFonts w:hint="eastAsia" w:ascii="Times New Roman"/>
          <w:color w:val="000000"/>
        </w:rPr>
        <w:t>可保存三个月；为了更好保存、使用试剂，使用前后请适当离心（盖帽）；切勿冷冻。</w:t>
      </w:r>
    </w:p>
    <w:p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备注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本产品仅用于科研，不能用于人体实验或人体治疗。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6"/>
      <w:tblpPr w:leftFromText="187" w:rightFromText="187" w:vertAnchor="text" w:tblpXSpec="left" w:tblpY="1"/>
      <w:tblW w:w="852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  <w:tblGrid>
      <w:gridCol w:w="3835"/>
      <w:gridCol w:w="852"/>
      <w:gridCol w:w="38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rPr>
        <w:trHeight w:val="151" w:hRule="atLeast"/>
      </w:trPr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>
          <w:pPr>
            <w:pStyle w:val="8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t xml:space="preserve"> </w:t>
          </w:r>
          <w:r>
            <w:rPr>
              <w:rFonts w:ascii="Cambria" w:hAnsi="Cambria"/>
              <w:b/>
              <w:lang w:val="zh-CN"/>
            </w:rP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="Cambria" w:hAnsi="Cambria"/>
              <w:b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rPr>
        <w:trHeight w:val="150" w:hRule="atLeast"/>
      </w:trPr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 w:val="continue"/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both"/>
    </w:pP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图片 6" o:spid="_x0000_s1025" type="#_x0000_t75" style="height:56.85pt;width:153.45pt;rotation:0f;" o:ole="f" fillcolor="#FFFFFF" filled="f" o:preferrelative="t" stroked="f" coordorigin="0,0" coordsize="21600,21600">
          <v:fill on="f" color2="#FFFFFF" focus="0%"/>
          <v:imagedata gain="65536f" blacklevel="0f" gamma="0" o:title="2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37F31"/>
    <w:rsid w:val="00011CBD"/>
    <w:rsid w:val="000E2A1D"/>
    <w:rsid w:val="001B32C5"/>
    <w:rsid w:val="001D0B7D"/>
    <w:rsid w:val="001F11A8"/>
    <w:rsid w:val="00237F31"/>
    <w:rsid w:val="00287B95"/>
    <w:rsid w:val="00295166"/>
    <w:rsid w:val="002A137D"/>
    <w:rsid w:val="003250F3"/>
    <w:rsid w:val="00344981"/>
    <w:rsid w:val="003C7EFE"/>
    <w:rsid w:val="00401CAA"/>
    <w:rsid w:val="0041400D"/>
    <w:rsid w:val="00422DA8"/>
    <w:rsid w:val="00486AC0"/>
    <w:rsid w:val="004F035D"/>
    <w:rsid w:val="00534502"/>
    <w:rsid w:val="0058469C"/>
    <w:rsid w:val="00653128"/>
    <w:rsid w:val="0066702B"/>
    <w:rsid w:val="007165FC"/>
    <w:rsid w:val="007A4D6D"/>
    <w:rsid w:val="00922C49"/>
    <w:rsid w:val="00987E4E"/>
    <w:rsid w:val="009A37E5"/>
    <w:rsid w:val="00A25702"/>
    <w:rsid w:val="00A67B86"/>
    <w:rsid w:val="00A7215D"/>
    <w:rsid w:val="00A97AFB"/>
    <w:rsid w:val="00AF6E6D"/>
    <w:rsid w:val="00C11287"/>
    <w:rsid w:val="00C3247F"/>
    <w:rsid w:val="00C361D1"/>
    <w:rsid w:val="00C5260E"/>
    <w:rsid w:val="00C74F52"/>
    <w:rsid w:val="00C775CE"/>
    <w:rsid w:val="00D25E74"/>
    <w:rsid w:val="00D53370"/>
    <w:rsid w:val="00D648D1"/>
    <w:rsid w:val="00D84FE6"/>
    <w:rsid w:val="00D8729C"/>
    <w:rsid w:val="00E2512F"/>
    <w:rsid w:val="00E85F6F"/>
    <w:rsid w:val="00E970AE"/>
    <w:rsid w:val="00EE2838"/>
    <w:rsid w:val="00F35E2A"/>
    <w:rsid w:val="00F838D4"/>
    <w:rsid w:val="00F87200"/>
    <w:rsid w:val="00FA23F2"/>
    <w:rsid w:val="1AB22589"/>
    <w:rsid w:val="74034BE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/>
    <w:rPr>
      <w:kern w:val="0"/>
      <w:sz w:val="20"/>
      <w:szCs w:val="20"/>
    </w:rPr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8">
    <w:name w:val="No Spacing"/>
    <w:link w:val="12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9">
    <w:name w:val="页眉 Char"/>
    <w:basedOn w:val="5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无间隔 Char"/>
    <w:basedOn w:val="5"/>
    <w:link w:val="8"/>
    <w:locked/>
    <w:uiPriority w:val="99"/>
    <w:rPr>
      <w:rFonts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696</Words>
  <Characters>459</Characters>
  <Lines>3</Lines>
  <Paragraphs>2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2014-02-26T02:49:00Z</dcterms:created>
  <dc:creator>史维维</dc:creator>
  <cp:lastModifiedBy>Administrator</cp:lastModifiedBy>
  <cp:lastPrinted>2014-02-27T02:48:00Z</cp:lastPrinted>
  <dcterms:modified xsi:type="dcterms:W3CDTF">2015-04-02T02:47:02Z</dcterms:modified>
  <dc:title>Streptavidin- QD产品使用说明书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